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22" w:rsidRPr="00B14822" w:rsidRDefault="00B14822" w:rsidP="00B14822">
      <w:pPr>
        <w:rPr>
          <w:rFonts w:ascii="Calibri" w:eastAsia="Calibri" w:hAnsi="Calibri" w:cs="Times New Roman"/>
        </w:rPr>
      </w:pPr>
      <w:r w:rsidRPr="00B14822">
        <w:rPr>
          <w:rFonts w:ascii="Calibri" w:eastAsia="Calibri" w:hAnsi="Calibri" w:cs="Times New Roman"/>
        </w:rPr>
        <w:fldChar w:fldCharType="begin"/>
      </w:r>
      <w:r w:rsidRPr="00B14822">
        <w:rPr>
          <w:rFonts w:ascii="Calibri" w:eastAsia="Calibri" w:hAnsi="Calibri" w:cs="Times New Roman"/>
        </w:rPr>
        <w:instrText xml:space="preserve"> HYPERLINK "https://login.consultant.ru/link/?req=doc&amp;base=LAW&amp;n=433844" \o "Ссылка на КонсультантПлюс" </w:instrText>
      </w:r>
      <w:r w:rsidRPr="00B14822">
        <w:rPr>
          <w:rFonts w:ascii="Calibri" w:eastAsia="Calibri" w:hAnsi="Calibri" w:cs="Times New Roman"/>
        </w:rPr>
        <w:fldChar w:fldCharType="separate"/>
      </w:r>
      <w:r w:rsidRPr="00B14822">
        <w:rPr>
          <w:rFonts w:ascii="Calibri" w:eastAsia="Calibri" w:hAnsi="Calibri" w:cs="Times New Roman"/>
          <w:i/>
          <w:iCs/>
          <w:color w:val="0000FF"/>
          <w:u w:val="single"/>
        </w:rPr>
        <w:t>"Кодекс судейской этики" (утв. VIII Всероссийским съездом судей 19.12.2012) (ред. от 01.12.2022) {</w:t>
      </w:r>
      <w:proofErr w:type="spellStart"/>
      <w:r w:rsidRPr="00B14822">
        <w:rPr>
          <w:rFonts w:ascii="Calibri" w:eastAsia="Calibri" w:hAnsi="Calibri" w:cs="Times New Roman"/>
          <w:i/>
          <w:iCs/>
          <w:color w:val="0000FF"/>
          <w:u w:val="single"/>
        </w:rPr>
        <w:t>КонсультантПлюс</w:t>
      </w:r>
      <w:proofErr w:type="spellEnd"/>
      <w:r w:rsidRPr="00B14822">
        <w:rPr>
          <w:rFonts w:ascii="Calibri" w:eastAsia="Calibri" w:hAnsi="Calibri" w:cs="Times New Roman"/>
          <w:i/>
          <w:iCs/>
          <w:color w:val="0000FF"/>
          <w:u w:val="single"/>
        </w:rPr>
        <w:t>}</w:t>
      </w:r>
      <w:r w:rsidRPr="00B14822">
        <w:rPr>
          <w:rFonts w:ascii="Calibri" w:eastAsia="Calibri" w:hAnsi="Calibri" w:cs="Times New Roman"/>
        </w:rPr>
        <w:fldChar w:fldCharType="end"/>
      </w:r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5" w:tooltip="Ссылка на КонсультантПлюс" w:history="1"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"Типовой кодекс этики и служебного поведения государственных служащих Российской Федерации и муниципальных служащих" (одобрен решением президиума Совета при Президенте РФ по противодействию коррупции от 23 декабря 2010 г. (протокол N 21))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6" w:tooltip="Ссылка на КонсультантПлюс" w:history="1">
        <w:proofErr w:type="gram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Приказ Судебного департамента при Верховном Суде РФ от 05.11.2015 N 339 (ред. от 10.09.2018) "Об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</w:t>
        </w:r>
        <w:proofErr w:type="gram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 xml:space="preserve">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опубликования"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  <w:i/>
          <w:iCs/>
          <w:color w:val="0000FF"/>
          <w:u w:val="single"/>
        </w:rPr>
      </w:pPr>
      <w:hyperlink r:id="rId7" w:tooltip="Ссылка на КонсультантПлюс" w:history="1"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Приказ Судебного департамента при Верховном Суде РФ от 26.04.2011 N 79 (ред. от 10.09.2018) "Об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Федерации"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8" w:tooltip="Ссылка на КонсультантПлюс" w:history="1">
        <w:proofErr w:type="gram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Приказ Судебного департамента при Верховном Суде РФ от 04.04.2016 N 71 (ред. от 10.09.2018) "Об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</w:t>
        </w:r>
        <w:proofErr w:type="gram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 xml:space="preserve"> зачисления средств, вырученных от его реализации"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9" w:tooltip="Ссылка на КонсультантПлюс" w:history="1">
        <w:proofErr w:type="gram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Приказ Судебного департамента при Верховном Суде РФ от 31.12.2015 N 412 (ред. от 10.09.2018) "Об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  </w:r>
        <w:proofErr w:type="gram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 xml:space="preserve"> ими служебных (должностных) обязанностей, сдачи и оценки подарка, реализации (выкупа) и зачисления средств, вырученных от его реализации"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10" w:tooltip="Ссылка на КонсультантПлюс" w:history="1"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"Инструкция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судьи" (утв. постановлением Президиума Совета судей РФ от 03.12.2018 N 689)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11" w:tooltip="Ссылка на КонсультантПлюс" w:history="1"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Распоряжение Правительства РФ от 10.05.2017 N 894-р (ред. от 24.10.2024) &lt;Об утверждении Методических рекомендаций по выявлению и отчуждению непрофильных активов&gt;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12" w:tooltip="Ссылка на КонсультантПлюс" w:history="1"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год)" (утв. Минтрудом России)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13" w:tooltip="Ссылка на КонсультантПлюс" w:history="1">
        <w:proofErr w:type="gram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"Памятка федеральным государственным гражданским служащим арбитражных судов Российской Федерации о типовых ситуациях конфликта интересов на федеральной государственной гражданской службе в арбитражных судах Российской Федерации и порядке его урегулирования" (одобрена комиссией по соблюдению требований к служебному поведению федеральных государственных гражданских служащих ВАС РФ и урегулированию конфликта интересов, протокол от 10.12.2012 N 6)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  <w:proofErr w:type="gramEnd"/>
    </w:p>
    <w:p w:rsidR="00B14822" w:rsidRPr="00B14822" w:rsidRDefault="00B14822" w:rsidP="00B14822">
      <w:pPr>
        <w:rPr>
          <w:rFonts w:ascii="Calibri" w:eastAsia="Calibri" w:hAnsi="Calibri" w:cs="Times New Roman"/>
        </w:rPr>
      </w:pPr>
      <w:hyperlink r:id="rId14" w:tooltip="Ссылка на КонсультантПлюс" w:history="1"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"Инструкция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судьи" (утв. постановлением Президиума Совета судей РФ от 03.12.2018 N 689) {</w:t>
        </w:r>
        <w:proofErr w:type="spellStart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КонсультантПлюс</w:t>
        </w:r>
        <w:proofErr w:type="spellEnd"/>
        <w:r w:rsidRPr="00B14822">
          <w:rPr>
            <w:rFonts w:ascii="Calibri" w:eastAsia="Calibri" w:hAnsi="Calibri" w:cs="Times New Roman"/>
            <w:i/>
            <w:iCs/>
            <w:color w:val="0000FF"/>
            <w:u w:val="single"/>
          </w:rPr>
          <w:t>}</w:t>
        </w:r>
      </w:hyperlink>
    </w:p>
    <w:p w:rsidR="003F3031" w:rsidRPr="00B14822" w:rsidRDefault="003F3031" w:rsidP="00B14822">
      <w:bookmarkStart w:id="0" w:name="_GoBack"/>
      <w:bookmarkEnd w:id="0"/>
    </w:p>
    <w:sectPr w:rsidR="003F3031" w:rsidRPr="00B1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973"/>
    <w:rsid w:val="00345FB0"/>
    <w:rsid w:val="003F3031"/>
    <w:rsid w:val="00B14822"/>
    <w:rsid w:val="00B916EE"/>
    <w:rsid w:val="00E8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106" TargetMode="External"/><Relationship Id="rId13" Type="http://schemas.openxmlformats.org/officeDocument/2006/relationships/hyperlink" Target="https://login.consultant.ru/link/?req=doc&amp;base=ARB&amp;n=369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07921" TargetMode="External"/><Relationship Id="rId12" Type="http://schemas.openxmlformats.org/officeDocument/2006/relationships/hyperlink" Target="https://login.consultant.ru/link/?req=doc&amp;base=LAW&amp;n=49467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8072" TargetMode="External"/><Relationship Id="rId11" Type="http://schemas.openxmlformats.org/officeDocument/2006/relationships/hyperlink" Target="https://login.consultant.ru/link/?req=doc&amp;base=LAW&amp;n=488977" TargetMode="External"/><Relationship Id="rId5" Type="http://schemas.openxmlformats.org/officeDocument/2006/relationships/hyperlink" Target="https://login.consultant.ru/link/?req=doc&amp;base=LAW&amp;n=1135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EXP&amp;n=471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8065" TargetMode="External"/><Relationship Id="rId14" Type="http://schemas.openxmlformats.org/officeDocument/2006/relationships/hyperlink" Target="https://login.consultant.ru/link/?req=doc&amp;base=EXP&amp;n=471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2026-03-02T10:51:00Z</dcterms:created>
  <dcterms:modified xsi:type="dcterms:W3CDTF">2026-04-07T04:24:00Z</dcterms:modified>
</cp:coreProperties>
</file>