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8"/>
              </w:rPr>
              <w:t xml:space="preserve">Приказ Судебного департамента при Верховном Суде РФ от 31.10.2023 N 226</w:t>
              <w:br/>
              <w:t xml:space="preserve">"Об утверждении Положения о представлении гражданами,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05.12.2024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СУДЕБНЫЙ ДЕПАРТАМЕНТ ПРИ ВЕРХОВНОМ СУДЕ</w:t>
      </w:r>
    </w:p>
    <w:p>
      <w:pPr>
        <w:pStyle w:val="2"/>
        <w:jc w:val="center"/>
      </w:pPr>
      <w:r>
        <w:rPr>
          <w:sz w:val="20"/>
        </w:rPr>
        <w:t xml:space="preserve">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31 октября 2023 г. N 226</w:t>
      </w:r>
    </w:p>
    <w:p>
      <w:pPr>
        <w:pStyle w:val="2"/>
        <w:jc w:val="center"/>
      </w:pPr>
      <w:r>
        <w:rPr>
          <w:sz w:val="20"/>
        </w:rPr>
      </w:r>
    </w:p>
    <w:p>
      <w:pPr>
        <w:pStyle w:val="2"/>
        <w:jc w:val="center"/>
      </w:pPr>
      <w:r>
        <w:rPr>
          <w:sz w:val="20"/>
        </w:rPr>
        <w:t xml:space="preserve">ОБ УТВЕРЖДЕНИИ ПОЛОЖЕНИЯ</w:t>
      </w:r>
    </w:p>
    <w:p>
      <w:pPr>
        <w:pStyle w:val="2"/>
        <w:jc w:val="center"/>
      </w:pPr>
      <w:r>
        <w:rPr>
          <w:sz w:val="20"/>
        </w:rPr>
        <w:t xml:space="preserve">О ПРЕДСТАВЛЕНИИ ГРАЖДАНАМИ, ПРЕТЕНДУЮЩИМИ НА ЗАМЕЩЕНИЕ</w:t>
      </w:r>
    </w:p>
    <w:p>
      <w:pPr>
        <w:pStyle w:val="2"/>
        <w:jc w:val="center"/>
      </w:pPr>
      <w:r>
        <w:rPr>
          <w:sz w:val="20"/>
        </w:rPr>
        <w:t xml:space="preserve">ДОЛЖНОСТЕЙ ФЕДЕРАЛЬНОЙ ГОСУДАРСТВЕННОЙ ГРАЖДАНСКОЙ СЛУЖБЫ</w:t>
      </w:r>
    </w:p>
    <w:p>
      <w:pPr>
        <w:pStyle w:val="2"/>
        <w:jc w:val="center"/>
      </w:pPr>
      <w:r>
        <w:rPr>
          <w:sz w:val="20"/>
        </w:rPr>
        <w:t xml:space="preserve">В ФЕДЕРАЛЬНЫХ СУДАХ ОБЩЕЙ ЮРИСДИКЦИИ И ФЕДЕРАЛЬНЫХ</w:t>
      </w:r>
    </w:p>
    <w:p>
      <w:pPr>
        <w:pStyle w:val="2"/>
        <w:jc w:val="center"/>
      </w:pPr>
      <w:r>
        <w:rPr>
          <w:sz w:val="20"/>
        </w:rPr>
        <w:t xml:space="preserve">АРБИТРАЖНЫХ СУДАХ, В УПРАВЛЕНИЯХ СУДЕБНОГО ДЕПАРТАМЕНТА</w:t>
      </w:r>
    </w:p>
    <w:p>
      <w:pPr>
        <w:pStyle w:val="2"/>
        <w:jc w:val="center"/>
      </w:pPr>
      <w:r>
        <w:rPr>
          <w:sz w:val="20"/>
        </w:rPr>
        <w:t xml:space="preserve">В СУБЪЕКТАХ РОССИЙСКОЙ ФЕДЕРАЦИИ, И ФЕДЕРАЛЬНЫМИ</w:t>
      </w:r>
    </w:p>
    <w:p>
      <w:pPr>
        <w:pStyle w:val="2"/>
        <w:jc w:val="center"/>
      </w:pPr>
      <w:r>
        <w:rPr>
          <w:sz w:val="20"/>
        </w:rPr>
        <w:t xml:space="preserve">ГОСУДАРСТВЕННЫМИ ГРАЖДАНСКИМИ СЛУЖАЩИМИ, ЗАМЕЩАЮЩИМИ</w:t>
      </w:r>
    </w:p>
    <w:p>
      <w:pPr>
        <w:pStyle w:val="2"/>
        <w:jc w:val="center"/>
      </w:pPr>
      <w:r>
        <w:rPr>
          <w:sz w:val="20"/>
        </w:rPr>
        <w:t xml:space="preserve">ДОЛЖНОСТИ ФЕДЕРАЛЬНОЙ ГОСУДАРСТВЕННОЙ ГРАЖДАНСКОЙ СЛУЖБЫ</w:t>
      </w:r>
    </w:p>
    <w:p>
      <w:pPr>
        <w:pStyle w:val="2"/>
        <w:jc w:val="center"/>
      </w:pPr>
      <w:r>
        <w:rPr>
          <w:sz w:val="20"/>
        </w:rPr>
        <w:t xml:space="preserve">В ФЕДЕРАЛЬНЫХ СУДАХ ОБЩЕЙ ЮРИСДИКЦИИ И ФЕДЕРАЛЬНЫХ</w:t>
      </w:r>
    </w:p>
    <w:p>
      <w:pPr>
        <w:pStyle w:val="2"/>
        <w:jc w:val="center"/>
      </w:pPr>
      <w:r>
        <w:rPr>
          <w:sz w:val="20"/>
        </w:rPr>
        <w:t xml:space="preserve">АРБИТРАЖНЫХ СУДАХ, В УПРАВЛЕНИЯХ СУДЕБНОГО ДЕПАРТАМЕНТА</w:t>
      </w:r>
    </w:p>
    <w:p>
      <w:pPr>
        <w:pStyle w:val="2"/>
        <w:jc w:val="center"/>
      </w:pPr>
      <w:r>
        <w:rPr>
          <w:sz w:val="20"/>
        </w:rPr>
        <w:t xml:space="preserve">В СУБЪЕКТАХ РОССИЙСКОЙ ФЕДЕРАЦИИ, СВЕДЕНИЙ О СВОИХ ДОХОДАХ,</w:t>
      </w:r>
    </w:p>
    <w:p>
      <w:pPr>
        <w:pStyle w:val="2"/>
        <w:jc w:val="center"/>
      </w:pPr>
      <w:r>
        <w:rPr>
          <w:sz w:val="20"/>
        </w:rPr>
        <w:t xml:space="preserve">РАСХОДАХ, ОБ ИМУЩЕСТВЕ И ОБЯЗАТЕЛЬСТВАХ ИМУЩЕСТВЕННОГО</w:t>
      </w:r>
    </w:p>
    <w:p>
      <w:pPr>
        <w:pStyle w:val="2"/>
        <w:jc w:val="center"/>
      </w:pPr>
      <w:r>
        <w:rPr>
          <w:sz w:val="20"/>
        </w:rPr>
        <w:t xml:space="preserve">ХАРАКТЕРА, А ТАКЖЕ СВЕДЕНИЙ О ДОХОДАХ, РАСХОДАХ,</w:t>
      </w:r>
    </w:p>
    <w:p>
      <w:pPr>
        <w:pStyle w:val="2"/>
        <w:jc w:val="center"/>
      </w:pPr>
      <w:r>
        <w:rPr>
          <w:sz w:val="20"/>
        </w:rPr>
        <w:t xml:space="preserve">ОБ ИМУЩЕСТВЕ И ОБЯЗАТЕЛЬСТВАХ ИМУЩЕСТВЕННОГО ХАРАКТЕРА</w:t>
      </w:r>
    </w:p>
    <w:p>
      <w:pPr>
        <w:pStyle w:val="2"/>
        <w:jc w:val="center"/>
      </w:pPr>
      <w:r>
        <w:rPr>
          <w:sz w:val="20"/>
        </w:rPr>
        <w:t xml:space="preserve">СУПРУГИ (СУПРУГА) И НЕСОВЕРШЕННОЛЕТНИХ ДЕТЕЙ</w:t>
      </w:r>
    </w:p>
    <w:p>
      <w:pPr>
        <w:pStyle w:val="0"/>
        <w:jc w:val="center"/>
      </w:pPr>
      <w:r>
        <w:rPr>
          <w:sz w:val="20"/>
        </w:rPr>
      </w:r>
    </w:p>
    <w:p>
      <w:pPr>
        <w:pStyle w:val="0"/>
        <w:ind w:firstLine="540"/>
        <w:jc w:val="both"/>
      </w:pPr>
      <w:r>
        <w:rPr>
          <w:sz w:val="20"/>
        </w:rPr>
        <w:t xml:space="preserve">В соответствии с Федеральным </w:t>
      </w:r>
      <w:hyperlink w:history="0" r:id="rId7"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 N 230-ФЗ "О контроле за соответствием расходов лиц, замещающих государственные должности, и иных лиц их доходам", а также </w:t>
      </w:r>
      <w:hyperlink w:history="0" r:id="rId8" w:tooltip="Указ Президента РФ от 18.05.2009 N 559 (ред. от 26.06.2023)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КонсультантПлюс}">
        <w:r>
          <w:rPr>
            <w:sz w:val="20"/>
            <w:color w:val="0000ff"/>
          </w:rPr>
          <w:t xml:space="preserve">указом</w:t>
        </w:r>
      </w:hyperlink>
      <w:r>
        <w:rPr>
          <w:sz w:val="20"/>
        </w:rPr>
        <w:t xml:space="preserve">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а также в целях повышения эффективности работы по противодействию коррупции в федеральных судах общей юрисдикции и федеральных арбитражных судах, в управлениях Судебного департамента в субъектах Российской Федерации приказываю:</w:t>
      </w:r>
    </w:p>
    <w:p>
      <w:pPr>
        <w:pStyle w:val="0"/>
        <w:spacing w:before="200" w:line-rule="auto"/>
        <w:ind w:firstLine="540"/>
        <w:jc w:val="both"/>
      </w:pPr>
      <w:r>
        <w:rPr>
          <w:sz w:val="20"/>
        </w:rPr>
        <w:t xml:space="preserve">1. Утвердить </w:t>
      </w:r>
      <w:hyperlink w:history="0" w:anchor="P44" w:tooltip="ПОЛОЖЕНИЕ">
        <w:r>
          <w:rPr>
            <w:sz w:val="20"/>
            <w:color w:val="0000ff"/>
          </w:rPr>
          <w:t xml:space="preserve">Положение</w:t>
        </w:r>
      </w:hyperlink>
      <w:r>
        <w:rPr>
          <w:sz w:val="20"/>
        </w:rPr>
        <w:t xml:space="preserve"> о представлении гражданами,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hyperlink w:history="0" r:id="rId9" w:tooltip="Приказ Судебного департамента при Верховном Суде РФ от 05.11.2015 N 342 (ред. от 25.03.2021) &quot;Об утверждении Положения о представлении гражданами, претендующими на замещение должностей федеральной государственной 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ап ------------ Утратил силу или отменен {КонсультантПлюс}">
        <w:r>
          <w:rPr>
            <w:sz w:val="20"/>
            <w:color w:val="0000ff"/>
          </w:rPr>
          <w:t xml:space="preserve">приказ</w:t>
        </w:r>
      </w:hyperlink>
      <w:r>
        <w:rPr>
          <w:sz w:val="20"/>
        </w:rPr>
        <w:t xml:space="preserve"> Судебного департамента при Верховном Суде Российской Федерации от 5 ноября 2015 г. N 342 "Об утверждении Положения о представлении гражданами, претендующими на замещение должностей федеральной государственной 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w:t>
      </w:r>
    </w:p>
    <w:p>
      <w:pPr>
        <w:pStyle w:val="0"/>
        <w:spacing w:before="200" w:line-rule="auto"/>
        <w:ind w:firstLine="540"/>
        <w:jc w:val="both"/>
      </w:pPr>
      <w:hyperlink w:history="0" r:id="rId10" w:tooltip="Приказ Судебного департамента при Верховном Суде РФ от 17.12.2015 N 381 &quot;О внесении изменений в Положение о представлении гражданами, претендующими на замещение должностей федеральной государственной 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аппаратах федер ------------ Утратил силу или отменен {КонсультантПлюс}">
        <w:r>
          <w:rPr>
            <w:sz w:val="20"/>
            <w:color w:val="0000ff"/>
          </w:rPr>
          <w:t xml:space="preserve">приказ</w:t>
        </w:r>
      </w:hyperlink>
      <w:r>
        <w:rPr>
          <w:sz w:val="20"/>
        </w:rPr>
        <w:t xml:space="preserve"> Судебного департамента при Верховном Суде Российской Федерации от 17 декабря 2015 г. N 381 "О внесении изменений в Положение о представлении гражданами, претендующими на замещение должностей федеральной государственной 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 утвержденное приказом Судебного департамента от 05.11.2015 N 342";</w:t>
      </w:r>
    </w:p>
    <w:p>
      <w:pPr>
        <w:pStyle w:val="0"/>
        <w:spacing w:before="200" w:line-rule="auto"/>
        <w:ind w:firstLine="540"/>
        <w:jc w:val="both"/>
      </w:pPr>
      <w:hyperlink w:history="0" r:id="rId11" w:tooltip="Приказ Судебного департамента при Верховном Суде РФ от 10.09.2018 N 146 &quot;О внесении изменений в Положение о представлении гражданами, претендующими на замещение должностей федеральной государственной 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аппаратах федер ------------ Утратил силу или отменен {КонсультантПлюс}">
        <w:r>
          <w:rPr>
            <w:sz w:val="20"/>
            <w:color w:val="0000ff"/>
          </w:rPr>
          <w:t xml:space="preserve">приказ</w:t>
        </w:r>
      </w:hyperlink>
      <w:r>
        <w:rPr>
          <w:sz w:val="20"/>
        </w:rPr>
        <w:t xml:space="preserve"> Судебного департамента при Верховном Суде Российской Федерации от 10 сентября 2018 г. N 146 "О внесении изменений в Положение о представлении гражданами, претендующими на замещение должностей федеральной государственной 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 утвержденное приказом Судебного департамента от 5 ноября 2015 г. N 342".</w:t>
      </w:r>
    </w:p>
    <w:p>
      <w:pPr>
        <w:pStyle w:val="0"/>
        <w:spacing w:before="200" w:line-rule="auto"/>
        <w:ind w:firstLine="540"/>
        <w:jc w:val="both"/>
      </w:pPr>
      <w:r>
        <w:rPr>
          <w:sz w:val="20"/>
        </w:rPr>
        <w:t xml:space="preserve">3. Настоящий приказ вступает в силу со дня его подписания.</w:t>
      </w:r>
    </w:p>
    <w:p>
      <w:pPr>
        <w:pStyle w:val="0"/>
        <w:ind w:firstLine="540"/>
        <w:jc w:val="both"/>
      </w:pPr>
      <w:r>
        <w:rPr>
          <w:sz w:val="20"/>
        </w:rPr>
      </w:r>
    </w:p>
    <w:p>
      <w:pPr>
        <w:pStyle w:val="0"/>
        <w:jc w:val="right"/>
      </w:pPr>
      <w:r>
        <w:rPr>
          <w:sz w:val="20"/>
        </w:rPr>
        <w:t xml:space="preserve">Генеральный директор</w:t>
      </w:r>
    </w:p>
    <w:p>
      <w:pPr>
        <w:pStyle w:val="0"/>
        <w:jc w:val="right"/>
      </w:pPr>
      <w:r>
        <w:rPr>
          <w:sz w:val="20"/>
        </w:rPr>
        <w:t xml:space="preserve">А.В.ГУСЕВ</w:t>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outlineLvl w:val="0"/>
        <w:jc w:val="right"/>
      </w:pPr>
      <w:r>
        <w:rPr>
          <w:sz w:val="20"/>
        </w:rPr>
        <w:t xml:space="preserve">Утверждено</w:t>
      </w:r>
    </w:p>
    <w:p>
      <w:pPr>
        <w:pStyle w:val="0"/>
        <w:jc w:val="right"/>
      </w:pPr>
      <w:r>
        <w:rPr>
          <w:sz w:val="20"/>
        </w:rPr>
        <w:t xml:space="preserve">приказом Судебного департамента</w:t>
      </w:r>
    </w:p>
    <w:p>
      <w:pPr>
        <w:pStyle w:val="0"/>
        <w:jc w:val="right"/>
      </w:pPr>
      <w:r>
        <w:rPr>
          <w:sz w:val="20"/>
        </w:rPr>
        <w:t xml:space="preserve">при Верховном Суде</w:t>
      </w:r>
    </w:p>
    <w:p>
      <w:pPr>
        <w:pStyle w:val="0"/>
        <w:jc w:val="right"/>
      </w:pPr>
      <w:r>
        <w:rPr>
          <w:sz w:val="20"/>
        </w:rPr>
        <w:t xml:space="preserve">Российской Федерации</w:t>
      </w:r>
    </w:p>
    <w:p>
      <w:pPr>
        <w:pStyle w:val="0"/>
        <w:jc w:val="right"/>
      </w:pPr>
      <w:r>
        <w:rPr>
          <w:sz w:val="20"/>
        </w:rPr>
        <w:t xml:space="preserve">от 31 октября 2023 г. N 226</w:t>
      </w:r>
    </w:p>
    <w:p>
      <w:pPr>
        <w:pStyle w:val="0"/>
        <w:jc w:val="right"/>
      </w:pPr>
      <w:r>
        <w:rPr>
          <w:sz w:val="20"/>
        </w:rPr>
      </w:r>
    </w:p>
    <w:bookmarkStart w:id="44" w:name="P44"/>
    <w:bookmarkEnd w:id="44"/>
    <w:p>
      <w:pPr>
        <w:pStyle w:val="2"/>
        <w:jc w:val="center"/>
      </w:pPr>
      <w:r>
        <w:rPr>
          <w:sz w:val="20"/>
        </w:rPr>
        <w:t xml:space="preserve">ПОЛОЖЕНИЕ</w:t>
      </w:r>
    </w:p>
    <w:p>
      <w:pPr>
        <w:pStyle w:val="2"/>
        <w:jc w:val="center"/>
      </w:pPr>
      <w:r>
        <w:rPr>
          <w:sz w:val="20"/>
        </w:rPr>
        <w:t xml:space="preserve">О ПРЕДСТАВЛЕНИИ ГРАЖДАНАМИ, ПРЕТЕНДУЮЩИМИ НА ЗАМЕЩЕНИЕ</w:t>
      </w:r>
    </w:p>
    <w:p>
      <w:pPr>
        <w:pStyle w:val="2"/>
        <w:jc w:val="center"/>
      </w:pPr>
      <w:r>
        <w:rPr>
          <w:sz w:val="20"/>
        </w:rPr>
        <w:t xml:space="preserve">ДОЛЖНОСТЕЙ ФЕДЕРАЛЬНОЙ ГОСУДАРСТВЕННОЙ ГРАЖДАНСКОЙ СЛУЖБЫ</w:t>
      </w:r>
    </w:p>
    <w:p>
      <w:pPr>
        <w:pStyle w:val="2"/>
        <w:jc w:val="center"/>
      </w:pPr>
      <w:r>
        <w:rPr>
          <w:sz w:val="20"/>
        </w:rPr>
        <w:t xml:space="preserve">В ФЕДЕРАЛЬНЫХ СУДАХ ОБЩЕЙ ЮРИСДИКЦИИ И ФЕДЕРАЛЬНЫХ</w:t>
      </w:r>
    </w:p>
    <w:p>
      <w:pPr>
        <w:pStyle w:val="2"/>
        <w:jc w:val="center"/>
      </w:pPr>
      <w:r>
        <w:rPr>
          <w:sz w:val="20"/>
        </w:rPr>
        <w:t xml:space="preserve">АРБИТРАЖНЫХ СУДАХ, В УПРАВЛЕНИЯХ СУДЕБНОГО ДЕПАРТАМЕНТА</w:t>
      </w:r>
    </w:p>
    <w:p>
      <w:pPr>
        <w:pStyle w:val="2"/>
        <w:jc w:val="center"/>
      </w:pPr>
      <w:r>
        <w:rPr>
          <w:sz w:val="20"/>
        </w:rPr>
        <w:t xml:space="preserve">В СУБЪЕКТАХ РОССИЙСКОЙ ФЕДЕРАЦИИ, И ФЕДЕРАЛЬНЫМИ</w:t>
      </w:r>
    </w:p>
    <w:p>
      <w:pPr>
        <w:pStyle w:val="2"/>
        <w:jc w:val="center"/>
      </w:pPr>
      <w:r>
        <w:rPr>
          <w:sz w:val="20"/>
        </w:rPr>
        <w:t xml:space="preserve">ГОСУДАРСТВЕННЫМИ ГРАЖДАНСКИМИ СЛУЖАЩИМИ, ЗАМЕЩАЮЩИМИ</w:t>
      </w:r>
    </w:p>
    <w:p>
      <w:pPr>
        <w:pStyle w:val="2"/>
        <w:jc w:val="center"/>
      </w:pPr>
      <w:r>
        <w:rPr>
          <w:sz w:val="20"/>
        </w:rPr>
        <w:t xml:space="preserve">ДОЛЖНОСТИ ФЕДЕРАЛЬНОЙ ГОСУДАРСТВЕННОЙ ГРАЖДАНСКОЙ СЛУЖБЫ</w:t>
      </w:r>
    </w:p>
    <w:p>
      <w:pPr>
        <w:pStyle w:val="2"/>
        <w:jc w:val="center"/>
      </w:pPr>
      <w:r>
        <w:rPr>
          <w:sz w:val="20"/>
        </w:rPr>
        <w:t xml:space="preserve">В ФЕДЕРАЛЬНЫХ СУДАХ ОБЩЕЙ ЮРИСДИКЦИИ И ФЕДЕРАЛЬНЫХ</w:t>
      </w:r>
    </w:p>
    <w:p>
      <w:pPr>
        <w:pStyle w:val="2"/>
        <w:jc w:val="center"/>
      </w:pPr>
      <w:r>
        <w:rPr>
          <w:sz w:val="20"/>
        </w:rPr>
        <w:t xml:space="preserve">АРБИТРАЖНЫХ СУДАХ, В УПРАВЛЕНИЯХ СУДЕБНОГО ДЕПАРТАМЕНТА</w:t>
      </w:r>
    </w:p>
    <w:p>
      <w:pPr>
        <w:pStyle w:val="2"/>
        <w:jc w:val="center"/>
      </w:pPr>
      <w:r>
        <w:rPr>
          <w:sz w:val="20"/>
        </w:rPr>
        <w:t xml:space="preserve">В СУБЪЕКТАХ РОССИЙСКОЙ ФЕДЕРАЦИИ, СВЕДЕНИЙ О СВОИХ ДОХОДАХ,</w:t>
      </w:r>
    </w:p>
    <w:p>
      <w:pPr>
        <w:pStyle w:val="2"/>
        <w:jc w:val="center"/>
      </w:pPr>
      <w:r>
        <w:rPr>
          <w:sz w:val="20"/>
        </w:rPr>
        <w:t xml:space="preserve">РАСХОДАХ, ОБ ИМУЩЕСТВЕ И ОБЯЗАТЕЛЬСТВАХ ИМУЩЕСТВЕННОГО</w:t>
      </w:r>
    </w:p>
    <w:p>
      <w:pPr>
        <w:pStyle w:val="2"/>
        <w:jc w:val="center"/>
      </w:pPr>
      <w:r>
        <w:rPr>
          <w:sz w:val="20"/>
        </w:rPr>
        <w:t xml:space="preserve">ХАРАКТЕРА, А ТАКЖЕ СВЕДЕНИЙ О ДОХОДАХ, РАСХОДАХ,</w:t>
      </w:r>
    </w:p>
    <w:p>
      <w:pPr>
        <w:pStyle w:val="2"/>
        <w:jc w:val="center"/>
      </w:pPr>
      <w:r>
        <w:rPr>
          <w:sz w:val="20"/>
        </w:rPr>
        <w:t xml:space="preserve">ОБ ИМУЩЕСТВЕ И ОБЯЗАТЕЛЬСТВАХ ИМУЩЕСТВЕННОГО ХАРАКТЕРА</w:t>
      </w:r>
    </w:p>
    <w:p>
      <w:pPr>
        <w:pStyle w:val="2"/>
        <w:jc w:val="center"/>
      </w:pPr>
      <w:r>
        <w:rPr>
          <w:sz w:val="20"/>
        </w:rPr>
        <w:t xml:space="preserve">СУПРУГИ (СУПРУГА) И НЕСОВЕРШЕННОЛЕТНИХ ДЕТЕЙ</w:t>
      </w:r>
    </w:p>
    <w:p>
      <w:pPr>
        <w:pStyle w:val="0"/>
        <w:jc w:val="center"/>
      </w:pPr>
      <w:r>
        <w:rPr>
          <w:sz w:val="20"/>
        </w:rPr>
      </w:r>
    </w:p>
    <w:p>
      <w:pPr>
        <w:pStyle w:val="0"/>
        <w:ind w:firstLine="540"/>
        <w:jc w:val="both"/>
      </w:pPr>
      <w:r>
        <w:rPr>
          <w:sz w:val="20"/>
        </w:rPr>
        <w:t xml:space="preserve">1. Настоящее Положение о представлении гражданами,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 (далее - Положение) определяет порядок представления гражданами, претендующими на замещение должностей федеральной государственной гражданской службы (далее - должности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(далее также - Управления, Управление), и федеральными государственными гражданскими служащими, замещающими должности в федеральных судах общей юрисдикции и федеральных арбитражных судах, в Управлениях (далее - гражданские служащие), сведений о полученных ими доходах, об имуществе, принадлежащем им на праве собственности, и об их обязательствах имущественного характера,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а также порядок представления гражданскими служащими сведений о своих расходах и сведений о расходах своих супруги (супруга) и несовершеннолетних детей (далее - расходы).</w:t>
      </w:r>
    </w:p>
    <w:p>
      <w:pPr>
        <w:pStyle w:val="0"/>
        <w:spacing w:before="200" w:line-rule="auto"/>
        <w:ind w:firstLine="540"/>
        <w:jc w:val="both"/>
      </w:pPr>
      <w:r>
        <w:rPr>
          <w:sz w:val="20"/>
        </w:rPr>
        <w:t xml:space="preserve">2. Обязанность представлять сведения о доходах в соответствии с федеральными законами возлагается:</w:t>
      </w:r>
    </w:p>
    <w:p>
      <w:pPr>
        <w:pStyle w:val="0"/>
        <w:spacing w:before="200" w:line-rule="auto"/>
        <w:ind w:firstLine="540"/>
        <w:jc w:val="both"/>
      </w:pPr>
      <w:r>
        <w:rPr>
          <w:sz w:val="20"/>
        </w:rPr>
        <w:t xml:space="preserve">а) на гражданина, претендующего на замещение должности гражданской службы (далее - гражданин) в федеральных судах общей юрисдикции и федеральных арбитражных судах, в Управлениях;</w:t>
      </w:r>
    </w:p>
    <w:bookmarkStart w:id="63" w:name="P63"/>
    <w:bookmarkEnd w:id="63"/>
    <w:p>
      <w:pPr>
        <w:pStyle w:val="0"/>
        <w:spacing w:before="200" w:line-rule="auto"/>
        <w:ind w:firstLine="540"/>
        <w:jc w:val="both"/>
      </w:pPr>
      <w:r>
        <w:rPr>
          <w:sz w:val="20"/>
        </w:rPr>
        <w:t xml:space="preserve">б) на гражданского служащего, замещавшего по состоянию на 31 декабря отчетного года должность гражданской службы, предусмотренную перечнем должностей федеральной государственной гражданской службы в федеральных судах общей юрисдикции и федеральных арбитражных судах, в Управлениях, при замещении которых гражданские служащие обязаны представлять сведения о доходах, расходах, об имуществе и обязательствах имущественного характера (далее - перечень должностей);</w:t>
      </w:r>
    </w:p>
    <w:p>
      <w:pPr>
        <w:pStyle w:val="0"/>
        <w:spacing w:before="200" w:line-rule="auto"/>
        <w:ind w:firstLine="540"/>
        <w:jc w:val="both"/>
      </w:pPr>
      <w:r>
        <w:rPr>
          <w:sz w:val="20"/>
        </w:rPr>
        <w:t xml:space="preserve">в) на гражданского служащего, замещающего в федеральных судах общей юрисдикции и федеральных арбитражных судах, в Управлениях должность гражданской службы, не предусмотренную перечнем должностей, и претендующего на замещение должности гражданской службы, предусмотренной этим перечнем должностей (далее - кандидат на должность, предусмотренную перечнем).</w:t>
      </w:r>
    </w:p>
    <w:p>
      <w:pPr>
        <w:pStyle w:val="0"/>
        <w:spacing w:before="200" w:line-rule="auto"/>
        <w:ind w:firstLine="540"/>
        <w:jc w:val="both"/>
      </w:pPr>
      <w:r>
        <w:rPr>
          <w:sz w:val="20"/>
        </w:rPr>
        <w:t xml:space="preserve">3. Сведения о расходах представляют гражданские служащие, замещающие должности гражданской службы, замещение которых влечет за собой обязанность представлять сведения о доходах в соответствии с </w:t>
      </w:r>
      <w:hyperlink w:history="0" w:anchor="P63" w:tooltip="б) на гражданского служащего, замещавшего по состоянию на 31 декабря отчетного года должность гражданской службы, предусмотренную перечнем должностей федеральной государственной гражданской службы в федеральных судах общей юрисдикции и федеральных арбитражных судах, в Управлениях, при замещении которых гражданские служащие обязаны представлять сведения о доходах, расходах, об имуществе и обязательствах имущественного характера (далее - перечень должностей);">
        <w:r>
          <w:rPr>
            <w:sz w:val="20"/>
            <w:color w:val="0000ff"/>
          </w:rPr>
          <w:t xml:space="preserve">подпунктом "б" пункта 2</w:t>
        </w:r>
      </w:hyperlink>
      <w:r>
        <w:rPr>
          <w:sz w:val="20"/>
        </w:rPr>
        <w:t xml:space="preserve"> настоящего Положения.</w:t>
      </w:r>
    </w:p>
    <w:p>
      <w:pPr>
        <w:pStyle w:val="0"/>
        <w:spacing w:before="200" w:line-rule="auto"/>
        <w:ind w:firstLine="540"/>
        <w:jc w:val="both"/>
      </w:pPr>
      <w:r>
        <w:rPr>
          <w:sz w:val="20"/>
        </w:rPr>
        <w:t xml:space="preserve">4. Перечни должностей, при замещении которых гражданские служащие Управлений, районных (городских) и гарнизонных военных судов обязаны представлять сведения о доходах, расходах, об имуществе и обязательствах имущественного характера, утверждаются приказом Управления.</w:t>
      </w:r>
    </w:p>
    <w:p>
      <w:pPr>
        <w:pStyle w:val="0"/>
        <w:spacing w:before="200" w:line-rule="auto"/>
        <w:ind w:firstLine="540"/>
        <w:jc w:val="both"/>
      </w:pPr>
      <w:r>
        <w:rPr>
          <w:sz w:val="20"/>
        </w:rPr>
        <w:t xml:space="preserve">Перечни должностей, при замещении которых гражданские служащие кассационных судов общей юрисдикции, кассационного военного суда, апелляционных судов общей юрисдикции,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окружных (флотских) военных судов и федеральных арбитражных судов (далее - суды) обязаны представлять сведения о доходах, расходах, об имуществе и обязательствах имущественного характера, утверждаются приказами соответствующего суда.</w:t>
      </w:r>
    </w:p>
    <w:p>
      <w:pPr>
        <w:pStyle w:val="0"/>
        <w:spacing w:before="200" w:line-rule="auto"/>
        <w:ind w:firstLine="540"/>
        <w:jc w:val="both"/>
      </w:pPr>
      <w:r>
        <w:rPr>
          <w:sz w:val="20"/>
        </w:rPr>
        <w:t xml:space="preserve">5. Сведения о доходах представляются по утвержденной указом Президента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bookmarkStart w:id="69" w:name="P69"/>
    <w:bookmarkEnd w:id="69"/>
    <w:p>
      <w:pPr>
        <w:pStyle w:val="0"/>
        <w:spacing w:before="200" w:line-rule="auto"/>
        <w:ind w:firstLine="540"/>
        <w:jc w:val="both"/>
      </w:pPr>
      <w:r>
        <w:rPr>
          <w:sz w:val="20"/>
        </w:rPr>
        <w:t xml:space="preserve">а) гражданами - при поступлении на федеральную государственную гражданскую службу;</w:t>
      </w:r>
    </w:p>
    <w:bookmarkStart w:id="70" w:name="P70"/>
    <w:bookmarkEnd w:id="70"/>
    <w:p>
      <w:pPr>
        <w:pStyle w:val="0"/>
        <w:spacing w:before="200" w:line-rule="auto"/>
        <w:ind w:firstLine="540"/>
        <w:jc w:val="both"/>
      </w:pPr>
      <w:r>
        <w:rPr>
          <w:sz w:val="20"/>
        </w:rPr>
        <w:t xml:space="preserve">б) кандидатами на должности, предусмотренные перечнем, - при назначении на должности гражданской службы, предусмотренные перечнем должностей;</w:t>
      </w:r>
    </w:p>
    <w:bookmarkStart w:id="71" w:name="P71"/>
    <w:bookmarkEnd w:id="71"/>
    <w:p>
      <w:pPr>
        <w:pStyle w:val="0"/>
        <w:spacing w:before="200" w:line-rule="auto"/>
        <w:ind w:firstLine="540"/>
        <w:jc w:val="both"/>
      </w:pPr>
      <w:r>
        <w:rPr>
          <w:sz w:val="20"/>
        </w:rPr>
        <w:t xml:space="preserve">в) гражданскими служащими, замещающими должности гражданской службы, предусмотренные перечнем должностей, - ежегодно, не позднее 30 апреля года, следующего за отчетным.</w:t>
      </w:r>
    </w:p>
    <w:bookmarkStart w:id="72" w:name="P72"/>
    <w:bookmarkEnd w:id="72"/>
    <w:p>
      <w:pPr>
        <w:pStyle w:val="0"/>
        <w:spacing w:before="200" w:line-rule="auto"/>
        <w:ind w:firstLine="540"/>
        <w:jc w:val="both"/>
      </w:pPr>
      <w:r>
        <w:rPr>
          <w:sz w:val="20"/>
        </w:rPr>
        <w:t xml:space="preserve">6. Гражданин при назначении на должность гражданской службы представляет:</w:t>
      </w:r>
    </w:p>
    <w:p>
      <w:pPr>
        <w:pStyle w:val="0"/>
        <w:spacing w:before="200" w:line-rule="auto"/>
        <w:ind w:firstLine="540"/>
        <w:jc w:val="both"/>
      </w:pPr>
      <w:r>
        <w:rPr>
          <w:sz w:val="20"/>
        </w:rPr>
        <w:t xml:space="preserve">а) сведения о своих доходах, полученных от всех источников (включая доходы по предыдущему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гражданской службы, а также сведения об имуществе, принадлежащем ему на праве собственности, о вкладах в банках, ценных бумагах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гражданской службы (на отчетную дату);</w:t>
      </w:r>
    </w:p>
    <w:p>
      <w:pPr>
        <w:pStyle w:val="0"/>
        <w:spacing w:before="200" w:line-rule="auto"/>
        <w:ind w:firstLine="540"/>
        <w:jc w:val="both"/>
      </w:pPr>
      <w:r>
        <w:rPr>
          <w:sz w:val="20"/>
        </w:rP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гражданской службы, а также сведения об имуществе, принадлежащем им на праве собственности, о вкладах в банках, ценных бумагах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гражданской службы (на отчетную дату).</w:t>
      </w:r>
    </w:p>
    <w:p>
      <w:pPr>
        <w:pStyle w:val="0"/>
        <w:spacing w:before="200" w:line-rule="auto"/>
        <w:ind w:firstLine="540"/>
        <w:jc w:val="both"/>
      </w:pPr>
      <w:r>
        <w:rPr>
          <w:sz w:val="20"/>
        </w:rPr>
        <w:t xml:space="preserve">7. Кандидат на должность, предусмотренную перечнем, представляет сведения о доходах в соответствии с </w:t>
      </w:r>
      <w:hyperlink w:history="0" w:anchor="P72" w:tooltip="6. Гражданин при назначении на должность гражданской службы представляет:">
        <w:r>
          <w:rPr>
            <w:sz w:val="20"/>
            <w:color w:val="0000ff"/>
          </w:rPr>
          <w:t xml:space="preserve">пунктом 6</w:t>
        </w:r>
      </w:hyperlink>
      <w:r>
        <w:rPr>
          <w:sz w:val="20"/>
        </w:rPr>
        <w:t xml:space="preserve"> настоящего Положения.</w:t>
      </w:r>
    </w:p>
    <w:p>
      <w:pPr>
        <w:pStyle w:val="0"/>
        <w:spacing w:before="200" w:line-rule="auto"/>
        <w:ind w:firstLine="540"/>
        <w:jc w:val="both"/>
      </w:pPr>
      <w:r>
        <w:rPr>
          <w:sz w:val="20"/>
        </w:rPr>
        <w:t xml:space="preserve">8. Гражданский служащий представляет ежегодно:</w:t>
      </w:r>
    </w:p>
    <w:p>
      <w:pPr>
        <w:pStyle w:val="0"/>
        <w:spacing w:before="200" w:line-rule="auto"/>
        <w:ind w:firstLine="540"/>
        <w:jc w:val="both"/>
      </w:pPr>
      <w:r>
        <w:rPr>
          <w:sz w:val="20"/>
        </w:rPr>
        <w:t xml:space="preserve">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о вкладах в банках, ценных бумагах и о своих обязательствах имущественного характера по состоянию на конец отчетного периода;</w:t>
      </w:r>
    </w:p>
    <w:p>
      <w:pPr>
        <w:pStyle w:val="0"/>
        <w:spacing w:before="200" w:line-rule="auto"/>
        <w:ind w:firstLine="540"/>
        <w:jc w:val="both"/>
      </w:pPr>
      <w:r>
        <w:rPr>
          <w:sz w:val="20"/>
        </w:rPr>
        <w:t xml:space="preserve">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о вкладах в банках, ценных бумагах и об их обязательствах имущественного характера по состоянию на конец отчетного периода;</w:t>
      </w:r>
    </w:p>
    <w:p>
      <w:pPr>
        <w:pStyle w:val="0"/>
        <w:spacing w:before="200" w:line-rule="auto"/>
        <w:ind w:firstLine="540"/>
        <w:jc w:val="both"/>
      </w:pPr>
      <w:r>
        <w:rPr>
          <w:sz w:val="20"/>
        </w:rPr>
        <w:t xml:space="preserve">в) сведения о расходах за отчетный период (с 1 января по 31 декабря) в случаях, установленных </w:t>
      </w:r>
      <w:hyperlink w:history="0" r:id="rId12"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статьей 3</w:t>
        </w:r>
      </w:hyperlink>
      <w:r>
        <w:rPr>
          <w:sz w:val="20"/>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bookmarkStart w:id="80" w:name="P80"/>
    <w:bookmarkEnd w:id="80"/>
    <w:p>
      <w:pPr>
        <w:pStyle w:val="0"/>
        <w:spacing w:before="200" w:line-rule="auto"/>
        <w:ind w:firstLine="540"/>
        <w:jc w:val="both"/>
      </w:pPr>
      <w:r>
        <w:rPr>
          <w:sz w:val="20"/>
        </w:rPr>
        <w:t xml:space="preserve">9. Сведения о доходах и расходах гражданским служащим суда представляются работнику соответствующего суда, в должностные обязанности которого входит осуществление полномочий по вопросам противодействия коррупции.</w:t>
      </w:r>
    </w:p>
    <w:bookmarkStart w:id="81" w:name="P81"/>
    <w:bookmarkEnd w:id="81"/>
    <w:p>
      <w:pPr>
        <w:pStyle w:val="0"/>
        <w:spacing w:before="200" w:line-rule="auto"/>
        <w:ind w:firstLine="540"/>
        <w:jc w:val="both"/>
      </w:pPr>
      <w:r>
        <w:rPr>
          <w:sz w:val="20"/>
        </w:rPr>
        <w:t xml:space="preserve">9.1. Сведения о доходах гражданином и кандидатом на должность, предусмотренную перечнем, представляются в структурное подразделение, в полномочия которого входит осуществление кадровой работы в соответствующем суде.</w:t>
      </w:r>
    </w:p>
    <w:bookmarkStart w:id="82" w:name="P82"/>
    <w:bookmarkEnd w:id="82"/>
    <w:p>
      <w:pPr>
        <w:pStyle w:val="0"/>
        <w:spacing w:before="200" w:line-rule="auto"/>
        <w:ind w:firstLine="540"/>
        <w:jc w:val="both"/>
      </w:pPr>
      <w:r>
        <w:rPr>
          <w:sz w:val="20"/>
        </w:rPr>
        <w:t xml:space="preserve">9.2. Сведения о доходах гражданина и кандидата на должность, предусмотренную перечнем, в течение пяти рабочих дней направляются структурным подразделением, в полномочия которого входит осуществление кадровой работы, работнику суда, в должностные обязанности которого входит осуществление полномочий по вопросам противодействия коррупции.</w:t>
      </w:r>
    </w:p>
    <w:bookmarkStart w:id="83" w:name="P83"/>
    <w:bookmarkEnd w:id="83"/>
    <w:p>
      <w:pPr>
        <w:pStyle w:val="0"/>
        <w:spacing w:before="200" w:line-rule="auto"/>
        <w:ind w:firstLine="540"/>
        <w:jc w:val="both"/>
      </w:pPr>
      <w:r>
        <w:rPr>
          <w:sz w:val="20"/>
        </w:rPr>
        <w:t xml:space="preserve">10. Сведения о доходах и расходах гражданским служащим районного (городского), гарнизонного военного суда представляются работнику соответствующего суда, в должностные обязанности которого входит осуществление полномочий по вопросам противодействия коррупции.</w:t>
      </w:r>
    </w:p>
    <w:bookmarkStart w:id="84" w:name="P84"/>
    <w:bookmarkEnd w:id="84"/>
    <w:p>
      <w:pPr>
        <w:pStyle w:val="0"/>
        <w:spacing w:before="200" w:line-rule="auto"/>
        <w:ind w:firstLine="540"/>
        <w:jc w:val="both"/>
      </w:pPr>
      <w:r>
        <w:rPr>
          <w:sz w:val="20"/>
        </w:rPr>
        <w:t xml:space="preserve">10.1. Сведения о доходах гражданином и кандидатом на должность, предусмотренную перечнем, представляются работнику суда, в должностные обязанности которого входит осуществление кадровой работы в соответствующем районном (городском), гарнизонном военном суде.</w:t>
      </w:r>
    </w:p>
    <w:bookmarkStart w:id="85" w:name="P85"/>
    <w:bookmarkEnd w:id="85"/>
    <w:p>
      <w:pPr>
        <w:pStyle w:val="0"/>
        <w:spacing w:before="200" w:line-rule="auto"/>
        <w:ind w:firstLine="540"/>
        <w:jc w:val="both"/>
      </w:pPr>
      <w:r>
        <w:rPr>
          <w:sz w:val="20"/>
        </w:rPr>
        <w:t xml:space="preserve">10.2. Сведения о доходах гражданина и кандидата на должность, предусмотренную перечнем, в течение пяти рабочих дней передаются работником, в должностные обязанности которого входит осуществление кадровой работы, работнику, в должностные обязанности которого входит осуществление полномочий по вопросам противодействия коррупции в соответствующем районном (городском), гарнизонном военном суде.</w:t>
      </w:r>
    </w:p>
    <w:bookmarkStart w:id="86" w:name="P86"/>
    <w:bookmarkEnd w:id="86"/>
    <w:p>
      <w:pPr>
        <w:pStyle w:val="0"/>
        <w:spacing w:before="200" w:line-rule="auto"/>
        <w:ind w:firstLine="540"/>
        <w:jc w:val="both"/>
      </w:pPr>
      <w:r>
        <w:rPr>
          <w:sz w:val="20"/>
        </w:rPr>
        <w:t xml:space="preserve">11. Сведения о доходах и расходах гражданским служащим Управления представляются в структурное подразделение Управления, в полномочия которого входит осуществление работы по вопросам противодействия коррупции.</w:t>
      </w:r>
    </w:p>
    <w:bookmarkStart w:id="87" w:name="P87"/>
    <w:bookmarkEnd w:id="87"/>
    <w:p>
      <w:pPr>
        <w:pStyle w:val="0"/>
        <w:spacing w:before="200" w:line-rule="auto"/>
        <w:ind w:firstLine="540"/>
        <w:jc w:val="both"/>
      </w:pPr>
      <w:r>
        <w:rPr>
          <w:sz w:val="20"/>
        </w:rPr>
        <w:t xml:space="preserve">11.1. Сведения о доходах гражданином и кандидатом на должность, предусмотренную перечнем, представляются в структурное подразделение Управления, в полномочия которого входит осуществление кадровой работы.</w:t>
      </w:r>
    </w:p>
    <w:bookmarkStart w:id="88" w:name="P88"/>
    <w:bookmarkEnd w:id="88"/>
    <w:p>
      <w:pPr>
        <w:pStyle w:val="0"/>
        <w:spacing w:before="200" w:line-rule="auto"/>
        <w:ind w:firstLine="540"/>
        <w:jc w:val="both"/>
      </w:pPr>
      <w:r>
        <w:rPr>
          <w:sz w:val="20"/>
        </w:rPr>
        <w:t xml:space="preserve">11.2. Сведения о доходах гражданина и кандидата на должность, предусмотренную перечнем, в течение пяти рабочих дней направляются структурным подразделением Управления, в полномочия которого входит осуществление кадровой работы, в структурное подразделение Управления, в полномочия которого входит осуществление работы по вопросам противодействия коррупции.</w:t>
      </w:r>
    </w:p>
    <w:p>
      <w:pPr>
        <w:pStyle w:val="0"/>
        <w:spacing w:before="200" w:line-rule="auto"/>
        <w:ind w:firstLine="540"/>
        <w:jc w:val="both"/>
      </w:pPr>
      <w:r>
        <w:rPr>
          <w:sz w:val="20"/>
        </w:rPr>
        <w:t xml:space="preserve">12. В случае если гражданин или кандидат на должность, предусмотренную перечнем, обнаружили, что в представленных ими сведениях о доходах не отражены или не полностью отражены какие-либо сведения либо имеются ошибки, они вправе представить уточненные сведения в соответствии с </w:t>
      </w:r>
      <w:hyperlink w:history="0" w:anchor="P81" w:tooltip="9.1. Сведения о доходах гражданином и кандидатом на должность, предусмотренную перечнем, представляются в структурное подразделение, в полномочия которого входит осуществление кадровой работы в соответствующем суде.">
        <w:r>
          <w:rPr>
            <w:sz w:val="20"/>
            <w:color w:val="0000ff"/>
          </w:rPr>
          <w:t xml:space="preserve">пунктами 9.1</w:t>
        </w:r>
      </w:hyperlink>
      <w:r>
        <w:rPr>
          <w:sz w:val="20"/>
        </w:rPr>
        <w:t xml:space="preserve">, </w:t>
      </w:r>
      <w:hyperlink w:history="0" w:anchor="P84" w:tooltip="10.1. Сведения о доходах гражданином и кандидатом на должность, предусмотренную перечнем, представляются работнику суда, в должностные обязанности которого входит осуществление кадровой работы в соответствующем районном (городском), гарнизонном военном суде.">
        <w:r>
          <w:rPr>
            <w:sz w:val="20"/>
            <w:color w:val="0000ff"/>
          </w:rPr>
          <w:t xml:space="preserve">10.1</w:t>
        </w:r>
      </w:hyperlink>
      <w:r>
        <w:rPr>
          <w:sz w:val="20"/>
        </w:rPr>
        <w:t xml:space="preserve">, </w:t>
      </w:r>
      <w:hyperlink w:history="0" w:anchor="P87" w:tooltip="11.1. Сведения о доходах гражданином и кандидатом на должность, предусмотренную перечнем, представляются в структурное подразделение Управления, в полномочия которого входит осуществление кадровой работы.">
        <w:r>
          <w:rPr>
            <w:sz w:val="20"/>
            <w:color w:val="0000ff"/>
          </w:rPr>
          <w:t xml:space="preserve">11.1</w:t>
        </w:r>
      </w:hyperlink>
      <w:r>
        <w:rPr>
          <w:sz w:val="20"/>
        </w:rPr>
        <w:t xml:space="preserve"> настоящего Положения.</w:t>
      </w:r>
    </w:p>
    <w:p>
      <w:pPr>
        <w:pStyle w:val="0"/>
        <w:spacing w:before="200" w:line-rule="auto"/>
        <w:ind w:firstLine="540"/>
        <w:jc w:val="both"/>
      </w:pPr>
      <w:r>
        <w:rPr>
          <w:sz w:val="20"/>
        </w:rPr>
        <w:t xml:space="preserve">В случае если гражданский служащий обнаружил, что в представленных им сведениях о доходах и расходах не отражены или не полностью отражены какие-либо сведения либо имеются ошибки, он вправе представить уточненные сведения в соответствии с </w:t>
      </w:r>
      <w:hyperlink w:history="0" w:anchor="P80" w:tooltip="9. Сведения о доходах и расходах гражданским служащим суда представляются работнику соответствующего суда, в должностные обязанности которого входит осуществление полномочий по вопросам противодействия коррупции.">
        <w:r>
          <w:rPr>
            <w:sz w:val="20"/>
            <w:color w:val="0000ff"/>
          </w:rPr>
          <w:t xml:space="preserve">пунктами 9</w:t>
        </w:r>
      </w:hyperlink>
      <w:r>
        <w:rPr>
          <w:sz w:val="20"/>
        </w:rPr>
        <w:t xml:space="preserve">, </w:t>
      </w:r>
      <w:hyperlink w:history="0" w:anchor="P83" w:tooltip="10. Сведения о доходах и расходах гражданским служащим районного (городского), гарнизонного военного суда представляются работнику соответствующего суда, в должностные обязанности которого входит осуществление полномочий по вопросам противодействия коррупции.">
        <w:r>
          <w:rPr>
            <w:sz w:val="20"/>
            <w:color w:val="0000ff"/>
          </w:rPr>
          <w:t xml:space="preserve">10</w:t>
        </w:r>
      </w:hyperlink>
      <w:r>
        <w:rPr>
          <w:sz w:val="20"/>
        </w:rPr>
        <w:t xml:space="preserve">, </w:t>
      </w:r>
      <w:hyperlink w:history="0" w:anchor="P86" w:tooltip="11. Сведения о доходах и расходах гражданским служащим Управления представляются в структурное подразделение Управления, в полномочия которого входит осуществление работы по вопросам противодействия коррупции.">
        <w:r>
          <w:rPr>
            <w:sz w:val="20"/>
            <w:color w:val="0000ff"/>
          </w:rPr>
          <w:t xml:space="preserve">11</w:t>
        </w:r>
      </w:hyperlink>
      <w:r>
        <w:rPr>
          <w:sz w:val="20"/>
        </w:rPr>
        <w:t xml:space="preserve"> настоящего Положения.</w:t>
      </w:r>
    </w:p>
    <w:p>
      <w:pPr>
        <w:pStyle w:val="0"/>
        <w:spacing w:before="200" w:line-rule="auto"/>
        <w:ind w:firstLine="540"/>
        <w:jc w:val="both"/>
      </w:pPr>
      <w:r>
        <w:rPr>
          <w:sz w:val="20"/>
        </w:rPr>
        <w:t xml:space="preserve">Гражданин может представить уточненные сведения в течение одного месяца со дня представления сведений в соответствии с </w:t>
      </w:r>
      <w:hyperlink w:history="0" w:anchor="P69" w:tooltip="а) гражданами - при поступлении на федеральную государственную гражданскую службу;">
        <w:r>
          <w:rPr>
            <w:sz w:val="20"/>
            <w:color w:val="0000ff"/>
          </w:rPr>
          <w:t xml:space="preserve">подпунктом "а" пункта 5</w:t>
        </w:r>
      </w:hyperlink>
      <w:r>
        <w:rPr>
          <w:sz w:val="20"/>
        </w:rPr>
        <w:t xml:space="preserve"> настоящего Положения.</w:t>
      </w:r>
    </w:p>
    <w:p>
      <w:pPr>
        <w:pStyle w:val="0"/>
        <w:spacing w:before="200" w:line-rule="auto"/>
        <w:ind w:firstLine="540"/>
        <w:jc w:val="both"/>
      </w:pPr>
      <w:r>
        <w:rPr>
          <w:sz w:val="20"/>
        </w:rPr>
        <w:t xml:space="preserve">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w:t>
      </w:r>
      <w:hyperlink w:history="0" w:anchor="P70" w:tooltip="б) кандидатами на должности, предусмотренные перечнем, - при назначении на должности гражданской службы, предусмотренные перечнем должностей;">
        <w:r>
          <w:rPr>
            <w:sz w:val="20"/>
            <w:color w:val="0000ff"/>
          </w:rPr>
          <w:t xml:space="preserve">подпунктом "б" пункта 5</w:t>
        </w:r>
      </w:hyperlink>
      <w:r>
        <w:rPr>
          <w:sz w:val="20"/>
        </w:rPr>
        <w:t xml:space="preserve"> настоящего Положения.</w:t>
      </w:r>
    </w:p>
    <w:p>
      <w:pPr>
        <w:pStyle w:val="0"/>
        <w:spacing w:before="200" w:line-rule="auto"/>
        <w:ind w:firstLine="540"/>
        <w:jc w:val="both"/>
      </w:pPr>
      <w:r>
        <w:rPr>
          <w:sz w:val="20"/>
        </w:rPr>
        <w:t xml:space="preserve">Гражданский служащий может представить уточненные сведения в течение одного месяца после окончания срока, указанного в </w:t>
      </w:r>
      <w:hyperlink w:history="0" w:anchor="P71" w:tooltip="в) гражданскими служащими, замещающими должности гражданской службы, предусмотренные перечнем должностей, - ежегодно, не позднее 30 апреля года, следующего за отчетным.">
        <w:r>
          <w:rPr>
            <w:sz w:val="20"/>
            <w:color w:val="0000ff"/>
          </w:rPr>
          <w:t xml:space="preserve">подпункте "в" пункта 5</w:t>
        </w:r>
      </w:hyperlink>
      <w:r>
        <w:rPr>
          <w:sz w:val="20"/>
        </w:rPr>
        <w:t xml:space="preserve"> настоящего Положения.</w:t>
      </w:r>
    </w:p>
    <w:p>
      <w:pPr>
        <w:pStyle w:val="0"/>
        <w:spacing w:before="200" w:line-rule="auto"/>
        <w:ind w:firstLine="540"/>
        <w:jc w:val="both"/>
      </w:pPr>
      <w:r>
        <w:rPr>
          <w:sz w:val="20"/>
        </w:rPr>
        <w:t xml:space="preserve">Уточненные сведения, представленные гражданами и кандидатами на должность, предусмотренную перечнем, в течение пяти дней после их представления направляются в соответствующие структурные подразделения, перечисленные в </w:t>
      </w:r>
      <w:hyperlink w:history="0" w:anchor="P82" w:tooltip="9.2. Сведения о доходах гражданина и кандидата на должность, предусмотренную перечнем, в течение пяти рабочих дней направляются структурным подразделением, в полномочия которого входит осуществление кадровой работы, работнику суда, в должностные обязанности которого входит осуществление полномочий по вопросам противодействия коррупции.">
        <w:r>
          <w:rPr>
            <w:sz w:val="20"/>
            <w:color w:val="0000ff"/>
          </w:rPr>
          <w:t xml:space="preserve">пунктах 9.2</w:t>
        </w:r>
      </w:hyperlink>
      <w:r>
        <w:rPr>
          <w:sz w:val="20"/>
        </w:rPr>
        <w:t xml:space="preserve">, </w:t>
      </w:r>
      <w:hyperlink w:history="0" w:anchor="P85" w:tooltip="10.2. Сведения о доходах гражданина и кандидата на должность, предусмотренную перечнем, в течение пяти рабочих дней передаются работником, в должностные обязанности которого входит осуществление кадровой работы, работнику, в должностные обязанности которого входит осуществление полномочий по вопросам противодействия коррупции в соответствующем районном (городском), гарнизонном военном суде.">
        <w:r>
          <w:rPr>
            <w:sz w:val="20"/>
            <w:color w:val="0000ff"/>
          </w:rPr>
          <w:t xml:space="preserve">10.2</w:t>
        </w:r>
      </w:hyperlink>
      <w:r>
        <w:rPr>
          <w:sz w:val="20"/>
        </w:rPr>
        <w:t xml:space="preserve">, </w:t>
      </w:r>
      <w:hyperlink w:history="0" w:anchor="P88" w:tooltip="11.2. Сведения о доходах гражданина и кандидата на должность, предусмотренную перечнем, в течение пяти рабочих дней направляются структурным подразделением Управления, в полномочия которого входит осуществление кадровой работы, в структурное подразделение Управления, в полномочия которого входит осуществление работы по вопросам противодействия коррупции.">
        <w:r>
          <w:rPr>
            <w:sz w:val="20"/>
            <w:color w:val="0000ff"/>
          </w:rPr>
          <w:t xml:space="preserve">11.2</w:t>
        </w:r>
      </w:hyperlink>
      <w:r>
        <w:rPr>
          <w:sz w:val="20"/>
        </w:rPr>
        <w:t xml:space="preserve"> настоящего Положения.</w:t>
      </w:r>
    </w:p>
    <w:p>
      <w:pPr>
        <w:pStyle w:val="0"/>
        <w:spacing w:before="200" w:line-rule="auto"/>
        <w:ind w:firstLine="540"/>
        <w:jc w:val="both"/>
      </w:pPr>
      <w:r>
        <w:rPr>
          <w:sz w:val="20"/>
        </w:rPr>
        <w:t xml:space="preserve">13. Гражданскому служащему суда, в том числе районного (городского), гарнизонного военного суда, при невозможности по объективным причинам представить сведения о доходах и расходах своих супруги (супруга) и несовершеннолетних детей необходимо подать заявление </w:t>
      </w:r>
      <w:hyperlink w:history="0" w:anchor="P153" w:tooltip="ЗАЯВЛЕНИЕ">
        <w:r>
          <w:rPr>
            <w:sz w:val="20"/>
            <w:color w:val="0000ff"/>
          </w:rPr>
          <w:t xml:space="preserve">(приложение N 1)</w:t>
        </w:r>
      </w:hyperlink>
      <w:r>
        <w:rPr>
          <w:sz w:val="20"/>
        </w:rPr>
        <w:t xml:space="preserve"> работнику соответствующего суда, в должностные обязанности которого входит осуществление полномочий по вопросам противодействия коррупции, до истечения срока, установленного </w:t>
      </w:r>
      <w:hyperlink w:history="0" w:anchor="P71" w:tooltip="в) гражданскими служащими, замещающими должности гражданской службы, предусмотренные перечнем должностей, - ежегодно, не позднее 30 апреля года, следующего за отчетным.">
        <w:r>
          <w:rPr>
            <w:sz w:val="20"/>
            <w:color w:val="0000ff"/>
          </w:rPr>
          <w:t xml:space="preserve">подпунктом "в" пункта 5</w:t>
        </w:r>
      </w:hyperlink>
      <w:r>
        <w:rPr>
          <w:sz w:val="20"/>
        </w:rPr>
        <w:t xml:space="preserve"> настоящего Положения.</w:t>
      </w:r>
    </w:p>
    <w:p>
      <w:pPr>
        <w:pStyle w:val="0"/>
        <w:spacing w:before="200" w:line-rule="auto"/>
        <w:ind w:firstLine="540"/>
        <w:jc w:val="both"/>
      </w:pPr>
      <w:r>
        <w:rPr>
          <w:sz w:val="20"/>
        </w:rPr>
        <w:t xml:space="preserve">Заявление не позднее следующего рабочего дня после его поступления регистрируется работником суда, в должностные обязанности которого входит осуществление полномочий по вопросам противодействия коррупции, в Журнале регистрации заявлений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 </w:t>
      </w:r>
      <w:hyperlink w:history="0" w:anchor="P212" w:tooltip="ЖУРНАЛ">
        <w:r>
          <w:rPr>
            <w:sz w:val="20"/>
            <w:color w:val="0000ff"/>
          </w:rPr>
          <w:t xml:space="preserve">(приложение N 2)</w:t>
        </w:r>
      </w:hyperlink>
      <w:r>
        <w:rPr>
          <w:sz w:val="20"/>
        </w:rPr>
        <w:t xml:space="preserve">.</w:t>
      </w:r>
    </w:p>
    <w:p>
      <w:pPr>
        <w:pStyle w:val="0"/>
        <w:spacing w:before="200" w:line-rule="auto"/>
        <w:ind w:firstLine="540"/>
        <w:jc w:val="both"/>
      </w:pPr>
      <w:r>
        <w:rPr>
          <w:sz w:val="20"/>
        </w:rPr>
        <w:t xml:space="preserve">13.1. Гражданскому служащему Управления при невозможности по объективным причинам представить сведения о доходах и расходах своих супруги (супруга) и несовершеннолетних детей необходимо подать заявление </w:t>
      </w:r>
      <w:hyperlink w:history="0" w:anchor="P153" w:tooltip="ЗАЯВЛЕНИЕ">
        <w:r>
          <w:rPr>
            <w:sz w:val="20"/>
            <w:color w:val="0000ff"/>
          </w:rPr>
          <w:t xml:space="preserve">(приложение N 1)</w:t>
        </w:r>
      </w:hyperlink>
      <w:r>
        <w:rPr>
          <w:sz w:val="20"/>
        </w:rPr>
        <w:t xml:space="preserve"> в структурное подразделение Управления, в полномочия которого входит осуществление работы по вопросам противодействия коррупции, до истечения срока, установленного </w:t>
      </w:r>
      <w:hyperlink w:history="0" w:anchor="P71" w:tooltip="в) гражданскими служащими, замещающими должности гражданской службы, предусмотренные перечнем должностей, - ежегодно, не позднее 30 апреля года, следующего за отчетным.">
        <w:r>
          <w:rPr>
            <w:sz w:val="20"/>
            <w:color w:val="0000ff"/>
          </w:rPr>
          <w:t xml:space="preserve">подпунктом "в" пункта 5</w:t>
        </w:r>
      </w:hyperlink>
      <w:r>
        <w:rPr>
          <w:sz w:val="20"/>
        </w:rPr>
        <w:t xml:space="preserve"> настоящего Положения.</w:t>
      </w:r>
    </w:p>
    <w:p>
      <w:pPr>
        <w:pStyle w:val="0"/>
        <w:spacing w:before="200" w:line-rule="auto"/>
        <w:ind w:firstLine="540"/>
        <w:jc w:val="both"/>
      </w:pPr>
      <w:r>
        <w:rPr>
          <w:sz w:val="20"/>
        </w:rPr>
        <w:t xml:space="preserve">Заявление не позднее следующего рабочего дня после его поступления регистрируется работником соответствующего структурного подразделения Управления в Журнале регистрации заявлений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 </w:t>
      </w:r>
      <w:hyperlink w:history="0" w:anchor="P212" w:tooltip="ЖУРНАЛ">
        <w:r>
          <w:rPr>
            <w:sz w:val="20"/>
            <w:color w:val="0000ff"/>
          </w:rPr>
          <w:t xml:space="preserve">(приложение N 2)</w:t>
        </w:r>
      </w:hyperlink>
      <w:r>
        <w:rPr>
          <w:sz w:val="20"/>
        </w:rPr>
        <w:t xml:space="preserve">.</w:t>
      </w:r>
    </w:p>
    <w:p>
      <w:pPr>
        <w:pStyle w:val="0"/>
        <w:spacing w:before="200" w:line-rule="auto"/>
        <w:ind w:firstLine="540"/>
        <w:jc w:val="both"/>
      </w:pPr>
      <w:r>
        <w:rPr>
          <w:sz w:val="20"/>
        </w:rPr>
        <w:t xml:space="preserve">14. Каждый случай непредставления по объективным причинам сведений о доходах и расходах своих супруги (супруга) и (или) несовершеннолетних детей подлежит рассмотрению на Комиссии по соблюдению требований к служебному поведению и урегулированию конфликта интересов, созданной в соответствующем субъекте Российской Федерации.</w:t>
      </w:r>
    </w:p>
    <w:p>
      <w:pPr>
        <w:pStyle w:val="0"/>
        <w:spacing w:before="200" w:line-rule="auto"/>
        <w:ind w:firstLine="540"/>
        <w:jc w:val="both"/>
      </w:pPr>
      <w:r>
        <w:rPr>
          <w:sz w:val="20"/>
        </w:rPr>
        <w:t xml:space="preserve">15. Проверка достоверности и полноты сведений о доходах и расходах, представленных в соответствии с настоящим Положением гражданином, кандидатом на должность, предусмотренную перечнем, и гражданским служащим, осуществляется в соответствии с законодательством Российской Федерации.</w:t>
      </w:r>
    </w:p>
    <w:p>
      <w:pPr>
        <w:pStyle w:val="0"/>
        <w:spacing w:before="200" w:line-rule="auto"/>
        <w:ind w:firstLine="540"/>
        <w:jc w:val="both"/>
      </w:pPr>
      <w:r>
        <w:rPr>
          <w:sz w:val="20"/>
        </w:rPr>
        <w:t xml:space="preserve">16. Сведения о доходах, представляемые в соответствии с настоящим Положением гражданином, кандидатом на должность, предусмотренную перечнем, и сведения о доходах и расходах, представляемые в соответствии с настоящим Положением гражданским служащим, являются сведениями конфиденциального характера, если федеральным законом они не отнесены к сведениям, составляющим государственную тайну, и представляются в соответствии с законодательством Российской Федерации.</w:t>
      </w:r>
    </w:p>
    <w:p>
      <w:pPr>
        <w:pStyle w:val="0"/>
        <w:spacing w:before="200" w:line-rule="auto"/>
        <w:ind w:firstLine="540"/>
        <w:jc w:val="both"/>
      </w:pPr>
      <w:r>
        <w:rPr>
          <w:sz w:val="20"/>
        </w:rPr>
        <w:t xml:space="preserve">17. Сведения о доходах и расходах гражданского служащего суда размещаются на официальном сайте соответствующего суда.</w:t>
      </w:r>
    </w:p>
    <w:p>
      <w:pPr>
        <w:pStyle w:val="0"/>
        <w:spacing w:before="200" w:line-rule="auto"/>
        <w:ind w:firstLine="540"/>
        <w:jc w:val="both"/>
      </w:pPr>
      <w:r>
        <w:rPr>
          <w:sz w:val="20"/>
        </w:rPr>
        <w:t xml:space="preserve">17.1. Сведения о доходах и расходах гражданского служащего Управления размещаются на официальном сайте Управления.</w:t>
      </w:r>
    </w:p>
    <w:p>
      <w:pPr>
        <w:pStyle w:val="0"/>
        <w:spacing w:before="200" w:line-rule="auto"/>
        <w:ind w:firstLine="540"/>
        <w:jc w:val="both"/>
      </w:pPr>
      <w:r>
        <w:rPr>
          <w:sz w:val="20"/>
        </w:rPr>
        <w:t xml:space="preserve">18. Гражданские служащие, в должностные обязанности которых входит работа со сведениями о доходах и расходах,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19. Сведения о доходах, представленные в соответствии с настоящим Положением гражданином или кандидатом на должность, предусмотренную перечнем, а также сведения о доходах и расходах, представляемые гражданским служащим ежегодно, и информация о результатах проверки достоверности и полноты этих сведений приобщаются к личному делу государственного служащего. Указанные сведения также могут храниться в электронном виде.</w:t>
      </w:r>
    </w:p>
    <w:p>
      <w:pPr>
        <w:pStyle w:val="0"/>
        <w:spacing w:before="200" w:line-rule="auto"/>
        <w:ind w:firstLine="540"/>
        <w:jc w:val="both"/>
      </w:pPr>
      <w:r>
        <w:rPr>
          <w:sz w:val="20"/>
        </w:rPr>
        <w:t xml:space="preserve">В случае если гражданин или кандидат на должность, предусмотренную перечнем, представившие в указанные уполномоченные структурные подразделения справки о своих доходах, а также справки о доходах своих супруги (супруга) и несовершеннолетних детей, не были назначены на должность государственной службы, такие справки возвращаются указанным лицам по их письменному заявлению вместе с другими документами.</w:t>
      </w:r>
    </w:p>
    <w:p>
      <w:pPr>
        <w:pStyle w:val="0"/>
        <w:spacing w:before="200" w:line-rule="auto"/>
        <w:ind w:firstLine="540"/>
        <w:jc w:val="both"/>
      </w:pPr>
      <w:r>
        <w:rPr>
          <w:sz w:val="20"/>
        </w:rPr>
        <w:t xml:space="preserve">20. В случае непредставления или представления заведомо ложных сведений о доходах гражданин и кандидат на должность, предусмотренную перечнем, не могут быть назначены на должность гражданской службы.</w:t>
      </w:r>
    </w:p>
    <w:p>
      <w:pPr>
        <w:pStyle w:val="0"/>
        <w:spacing w:before="200" w:line-rule="auto"/>
        <w:ind w:firstLine="540"/>
        <w:jc w:val="both"/>
      </w:pPr>
      <w:r>
        <w:rPr>
          <w:sz w:val="20"/>
        </w:rPr>
        <w:t xml:space="preserve">В случае непредставления или представления заведомо ложных сведений о доходах и расходах гражданский служащий освобождается от должности гражданской службы или подвергается иным видам дисциплинарной ответственности в соответствии с законодательством Российской Федерации.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w:t>
      </w:r>
    </w:p>
    <w:p>
      <w:pPr>
        <w:pStyle w:val="0"/>
        <w:jc w:val="right"/>
      </w:pPr>
      <w:r>
        <w:rPr>
          <w:sz w:val="20"/>
        </w:rPr>
        <w:t xml:space="preserve">к Положению о представлении</w:t>
      </w:r>
    </w:p>
    <w:p>
      <w:pPr>
        <w:pStyle w:val="0"/>
        <w:jc w:val="right"/>
      </w:pPr>
      <w:r>
        <w:rPr>
          <w:sz w:val="20"/>
        </w:rPr>
        <w:t xml:space="preserve">гражданами, претендующими на</w:t>
      </w:r>
    </w:p>
    <w:p>
      <w:pPr>
        <w:pStyle w:val="0"/>
        <w:jc w:val="right"/>
      </w:pPr>
      <w:r>
        <w:rPr>
          <w:sz w:val="20"/>
        </w:rPr>
        <w:t xml:space="preserve">замещение должностей федеральной</w:t>
      </w:r>
    </w:p>
    <w:p>
      <w:pPr>
        <w:pStyle w:val="0"/>
        <w:jc w:val="right"/>
      </w:pPr>
      <w:r>
        <w:rPr>
          <w:sz w:val="20"/>
        </w:rPr>
        <w:t xml:space="preserve">государственной гражданской службы</w:t>
      </w:r>
    </w:p>
    <w:p>
      <w:pPr>
        <w:pStyle w:val="0"/>
        <w:jc w:val="right"/>
      </w:pPr>
      <w:r>
        <w:rPr>
          <w:sz w:val="20"/>
        </w:rPr>
        <w:t xml:space="preserve">в федеральных судах общей юрисдикции</w:t>
      </w:r>
    </w:p>
    <w:p>
      <w:pPr>
        <w:pStyle w:val="0"/>
        <w:jc w:val="right"/>
      </w:pPr>
      <w:r>
        <w:rPr>
          <w:sz w:val="20"/>
        </w:rPr>
        <w:t xml:space="preserve">и федеральных арбитражных судах,</w:t>
      </w:r>
    </w:p>
    <w:p>
      <w:pPr>
        <w:pStyle w:val="0"/>
        <w:jc w:val="right"/>
      </w:pPr>
      <w:r>
        <w:rPr>
          <w:sz w:val="20"/>
        </w:rPr>
        <w:t xml:space="preserve">в управлениях Судебного департамента</w:t>
      </w:r>
    </w:p>
    <w:p>
      <w:pPr>
        <w:pStyle w:val="0"/>
        <w:jc w:val="right"/>
      </w:pPr>
      <w:r>
        <w:rPr>
          <w:sz w:val="20"/>
        </w:rPr>
        <w:t xml:space="preserve">в субъектах Российской Федерации,</w:t>
      </w:r>
    </w:p>
    <w:p>
      <w:pPr>
        <w:pStyle w:val="0"/>
        <w:jc w:val="right"/>
      </w:pPr>
      <w:r>
        <w:rPr>
          <w:sz w:val="20"/>
        </w:rPr>
        <w:t xml:space="preserve">и федеральными государственными</w:t>
      </w:r>
    </w:p>
    <w:p>
      <w:pPr>
        <w:pStyle w:val="0"/>
        <w:jc w:val="right"/>
      </w:pPr>
      <w:r>
        <w:rPr>
          <w:sz w:val="20"/>
        </w:rPr>
        <w:t xml:space="preserve">гражданскими служащими, замещающими</w:t>
      </w:r>
    </w:p>
    <w:p>
      <w:pPr>
        <w:pStyle w:val="0"/>
        <w:jc w:val="right"/>
      </w:pPr>
      <w:r>
        <w:rPr>
          <w:sz w:val="20"/>
        </w:rPr>
        <w:t xml:space="preserve">должности федеральной государственной</w:t>
      </w:r>
    </w:p>
    <w:p>
      <w:pPr>
        <w:pStyle w:val="0"/>
        <w:jc w:val="right"/>
      </w:pPr>
      <w:r>
        <w:rPr>
          <w:sz w:val="20"/>
        </w:rPr>
        <w:t xml:space="preserve">гражданской службы в федеральных</w:t>
      </w:r>
    </w:p>
    <w:p>
      <w:pPr>
        <w:pStyle w:val="0"/>
        <w:jc w:val="right"/>
      </w:pPr>
      <w:r>
        <w:rPr>
          <w:sz w:val="20"/>
        </w:rPr>
        <w:t xml:space="preserve">судах общей юрисдикции и федеральных</w:t>
      </w:r>
    </w:p>
    <w:p>
      <w:pPr>
        <w:pStyle w:val="0"/>
        <w:jc w:val="right"/>
      </w:pPr>
      <w:r>
        <w:rPr>
          <w:sz w:val="20"/>
        </w:rPr>
        <w:t xml:space="preserve">арбитражных судах, в управлениях</w:t>
      </w:r>
    </w:p>
    <w:p>
      <w:pPr>
        <w:pStyle w:val="0"/>
        <w:jc w:val="right"/>
      </w:pPr>
      <w:r>
        <w:rPr>
          <w:sz w:val="20"/>
        </w:rPr>
        <w:t xml:space="preserve">Судебного департамента в субъектах</w:t>
      </w:r>
    </w:p>
    <w:p>
      <w:pPr>
        <w:pStyle w:val="0"/>
        <w:jc w:val="right"/>
      </w:pPr>
      <w:r>
        <w:rPr>
          <w:sz w:val="20"/>
        </w:rPr>
        <w:t xml:space="preserve">Российской Федерации, сведений о своих</w:t>
      </w:r>
    </w:p>
    <w:p>
      <w:pPr>
        <w:pStyle w:val="0"/>
        <w:jc w:val="right"/>
      </w:pPr>
      <w:r>
        <w:rPr>
          <w:sz w:val="20"/>
        </w:rPr>
        <w:t xml:space="preserve">доходах, расходах, об имуществе</w:t>
      </w:r>
    </w:p>
    <w:p>
      <w:pPr>
        <w:pStyle w:val="0"/>
        <w:jc w:val="right"/>
      </w:pPr>
      <w:r>
        <w:rPr>
          <w:sz w:val="20"/>
        </w:rPr>
        <w:t xml:space="preserve">и обязательствах имущественного</w:t>
      </w:r>
    </w:p>
    <w:p>
      <w:pPr>
        <w:pStyle w:val="0"/>
        <w:jc w:val="right"/>
      </w:pPr>
      <w:r>
        <w:rPr>
          <w:sz w:val="20"/>
        </w:rPr>
        <w:t xml:space="preserve">характера, а также сведений</w:t>
      </w:r>
    </w:p>
    <w:p>
      <w:pPr>
        <w:pStyle w:val="0"/>
        <w:jc w:val="right"/>
      </w:pPr>
      <w:r>
        <w:rPr>
          <w:sz w:val="20"/>
        </w:rPr>
        <w:t xml:space="preserve">о доходах, расходах, об имуществе</w:t>
      </w:r>
    </w:p>
    <w:p>
      <w:pPr>
        <w:pStyle w:val="0"/>
        <w:jc w:val="right"/>
      </w:pPr>
      <w:r>
        <w:rPr>
          <w:sz w:val="20"/>
        </w:rPr>
        <w:t xml:space="preserve">и обязательствах имущественного</w:t>
      </w:r>
    </w:p>
    <w:p>
      <w:pPr>
        <w:pStyle w:val="0"/>
        <w:jc w:val="right"/>
      </w:pPr>
      <w:r>
        <w:rPr>
          <w:sz w:val="20"/>
        </w:rPr>
        <w:t xml:space="preserve">характера супруги (супруга)</w:t>
      </w:r>
    </w:p>
    <w:p>
      <w:pPr>
        <w:pStyle w:val="0"/>
        <w:jc w:val="right"/>
      </w:pPr>
      <w:r>
        <w:rPr>
          <w:sz w:val="20"/>
        </w:rPr>
        <w:t xml:space="preserve">и несовершеннолетних детей</w:t>
      </w:r>
    </w:p>
    <w:p>
      <w:pPr>
        <w:pStyle w:val="0"/>
        <w:jc w:val="right"/>
      </w:pPr>
      <w:r>
        <w:rPr>
          <w:sz w:val="20"/>
        </w:rPr>
      </w:r>
    </w:p>
    <w:tbl>
      <w:tblPr>
        <w:tblInd w:w="0" w:type="dxa"/>
        <w:tblLayout w:type="fixed"/>
        <w:tblCellMar>
          <w:top w:w="102" w:type="dxa"/>
          <w:left w:w="62" w:type="dxa"/>
          <w:bottom w:w="102" w:type="dxa"/>
          <w:right w:w="62" w:type="dxa"/>
        </w:tblCellMar>
      </w:tblPr>
      <w:tblGrid>
        <w:gridCol w:w="4025"/>
        <w:gridCol w:w="397"/>
        <w:gridCol w:w="4649"/>
      </w:tblGrid>
      <w:tr>
        <w:tc>
          <w:tcPr>
            <w:gridSpan w:val="3"/>
            <w:tcW w:w="9071" w:type="dxa"/>
            <w:tcBorders>
              <w:top w:val="nil"/>
              <w:left w:val="nil"/>
              <w:bottom w:val="nil"/>
              <w:right w:val="nil"/>
            </w:tcBorders>
          </w:tcPr>
          <w:p>
            <w:pPr>
              <w:pStyle w:val="0"/>
              <w:jc w:val="both"/>
            </w:pPr>
            <w:r>
              <w:rPr>
                <w:sz w:val="20"/>
              </w:rPr>
              <w:t xml:space="preserve">Регистрационный номер: _____________________</w:t>
            </w:r>
          </w:p>
        </w:tc>
      </w:tr>
      <w:tr>
        <w:tc>
          <w:tcPr>
            <w:tcW w:w="4025" w:type="dxa"/>
            <w:tcBorders>
              <w:top w:val="nil"/>
              <w:left w:val="nil"/>
              <w:bottom w:val="nil"/>
              <w:right w:val="nil"/>
            </w:tcBorders>
          </w:tcPr>
          <w:p>
            <w:pPr>
              <w:pStyle w:val="0"/>
              <w:jc w:val="both"/>
            </w:pPr>
            <w:r>
              <w:rPr>
                <w:sz w:val="20"/>
              </w:rPr>
            </w:r>
          </w:p>
        </w:tc>
        <w:tc>
          <w:tcPr>
            <w:tcW w:w="397" w:type="dxa"/>
            <w:vAlign w:val="bottom"/>
            <w:tcBorders>
              <w:top w:val="nil"/>
              <w:left w:val="nil"/>
              <w:bottom w:val="nil"/>
              <w:right w:val="nil"/>
            </w:tcBorders>
          </w:tcPr>
          <w:p>
            <w:pPr>
              <w:pStyle w:val="0"/>
              <w:jc w:val="both"/>
            </w:pPr>
            <w:r>
              <w:rPr>
                <w:sz w:val="20"/>
              </w:rPr>
              <w:t xml:space="preserve">В</w:t>
            </w:r>
          </w:p>
        </w:tc>
        <w:tc>
          <w:tcPr>
            <w:tcW w:w="4649" w:type="dxa"/>
            <w:tcBorders>
              <w:top w:val="nil"/>
              <w:left w:val="nil"/>
              <w:bottom w:val="single" w:sz="4"/>
              <w:right w:val="nil"/>
            </w:tcBorders>
          </w:tcPr>
          <w:p>
            <w:pPr>
              <w:pStyle w:val="0"/>
              <w:jc w:val="both"/>
            </w:pPr>
            <w:r>
              <w:rPr>
                <w:sz w:val="20"/>
              </w:rPr>
            </w:r>
          </w:p>
        </w:tc>
      </w:tr>
      <w:tr>
        <w:tc>
          <w:tcPr>
            <w:tcW w:w="4025" w:type="dxa"/>
            <w:tcBorders>
              <w:top w:val="nil"/>
              <w:left w:val="nil"/>
              <w:bottom w:val="nil"/>
              <w:right w:val="nil"/>
            </w:tcBorders>
          </w:tcPr>
          <w:p>
            <w:pPr>
              <w:pStyle w:val="0"/>
              <w:jc w:val="both"/>
            </w:pPr>
            <w:r>
              <w:rPr>
                <w:sz w:val="20"/>
              </w:rPr>
            </w:r>
          </w:p>
        </w:tc>
        <w:tc>
          <w:tcPr>
            <w:tcW w:w="397" w:type="dxa"/>
            <w:tcBorders>
              <w:top w:val="nil"/>
              <w:left w:val="nil"/>
              <w:bottom w:val="nil"/>
              <w:right w:val="nil"/>
            </w:tcBorders>
          </w:tcPr>
          <w:p>
            <w:pPr>
              <w:pStyle w:val="0"/>
              <w:jc w:val="both"/>
            </w:pPr>
            <w:r>
              <w:rPr>
                <w:sz w:val="20"/>
              </w:rPr>
            </w:r>
          </w:p>
        </w:tc>
        <w:tc>
          <w:tcPr>
            <w:tcW w:w="4649" w:type="dxa"/>
            <w:tcBorders>
              <w:top w:val="single" w:sz="4"/>
              <w:left w:val="nil"/>
              <w:bottom w:val="nil"/>
              <w:right w:val="nil"/>
            </w:tcBorders>
          </w:tcPr>
          <w:p>
            <w:pPr>
              <w:pStyle w:val="0"/>
              <w:jc w:val="center"/>
            </w:pPr>
            <w:r>
              <w:rPr>
                <w:sz w:val="20"/>
              </w:rPr>
              <w:t xml:space="preserve">(наименование суда, наименование структурного подразделения Управления, ответственного по вопросам противодействия коррупции)</w:t>
            </w:r>
          </w:p>
        </w:tc>
      </w:tr>
      <w:tr>
        <w:tc>
          <w:tcPr>
            <w:tcW w:w="4025" w:type="dxa"/>
            <w:tcBorders>
              <w:top w:val="nil"/>
              <w:left w:val="nil"/>
              <w:bottom w:val="nil"/>
              <w:right w:val="nil"/>
            </w:tcBorders>
          </w:tcPr>
          <w:p>
            <w:pPr>
              <w:pStyle w:val="0"/>
              <w:jc w:val="both"/>
            </w:pPr>
            <w:r>
              <w:rPr>
                <w:sz w:val="20"/>
              </w:rPr>
            </w:r>
          </w:p>
        </w:tc>
        <w:tc>
          <w:tcPr>
            <w:tcW w:w="397" w:type="dxa"/>
            <w:vAlign w:val="bottom"/>
            <w:tcBorders>
              <w:top w:val="nil"/>
              <w:left w:val="nil"/>
              <w:bottom w:val="nil"/>
              <w:right w:val="nil"/>
            </w:tcBorders>
          </w:tcPr>
          <w:p>
            <w:pPr>
              <w:pStyle w:val="0"/>
              <w:jc w:val="both"/>
            </w:pPr>
            <w:r>
              <w:rPr>
                <w:sz w:val="20"/>
              </w:rPr>
              <w:t xml:space="preserve">от</w:t>
            </w:r>
          </w:p>
        </w:tc>
        <w:tc>
          <w:tcPr>
            <w:tcW w:w="4649" w:type="dxa"/>
            <w:tcBorders>
              <w:top w:val="nil"/>
              <w:left w:val="nil"/>
              <w:bottom w:val="single" w:sz="4"/>
              <w:right w:val="nil"/>
            </w:tcBorders>
          </w:tcPr>
          <w:p>
            <w:pPr>
              <w:pStyle w:val="0"/>
              <w:jc w:val="both"/>
            </w:pPr>
            <w:r>
              <w:rPr>
                <w:sz w:val="20"/>
              </w:rPr>
            </w:r>
          </w:p>
        </w:tc>
      </w:tr>
      <w:tr>
        <w:tc>
          <w:tcPr>
            <w:tcW w:w="4025" w:type="dxa"/>
            <w:tcBorders>
              <w:top w:val="nil"/>
              <w:left w:val="nil"/>
              <w:bottom w:val="nil"/>
              <w:right w:val="nil"/>
            </w:tcBorders>
          </w:tcPr>
          <w:p>
            <w:pPr>
              <w:pStyle w:val="0"/>
              <w:jc w:val="both"/>
            </w:pPr>
            <w:r>
              <w:rPr>
                <w:sz w:val="20"/>
              </w:rPr>
            </w:r>
          </w:p>
        </w:tc>
        <w:tc>
          <w:tcPr>
            <w:tcW w:w="397" w:type="dxa"/>
            <w:tcBorders>
              <w:top w:val="nil"/>
              <w:left w:val="nil"/>
              <w:bottom w:val="nil"/>
              <w:right w:val="nil"/>
            </w:tcBorders>
          </w:tcPr>
          <w:p>
            <w:pPr>
              <w:pStyle w:val="0"/>
              <w:jc w:val="both"/>
            </w:pPr>
            <w:r>
              <w:rPr>
                <w:sz w:val="20"/>
              </w:rPr>
            </w:r>
          </w:p>
        </w:tc>
        <w:tc>
          <w:tcPr>
            <w:tcW w:w="4649" w:type="dxa"/>
            <w:tcBorders>
              <w:top w:val="single" w:sz="4"/>
              <w:left w:val="nil"/>
              <w:bottom w:val="nil"/>
              <w:right w:val="nil"/>
            </w:tcBorders>
          </w:tcPr>
          <w:p>
            <w:pPr>
              <w:pStyle w:val="0"/>
              <w:jc w:val="center"/>
            </w:pPr>
            <w:r>
              <w:rPr>
                <w:sz w:val="20"/>
              </w:rPr>
              <w:t xml:space="preserve">(ФИО, должность в соответствии с приказом о назначении, телефон)</w:t>
            </w:r>
          </w:p>
        </w:tc>
      </w:tr>
    </w:tbl>
    <w:p>
      <w:pPr>
        <w:pStyle w:val="0"/>
        <w:jc w:val="right"/>
      </w:pPr>
      <w:r>
        <w:rPr>
          <w:sz w:val="20"/>
        </w:rPr>
      </w:r>
    </w:p>
    <w:tbl>
      <w:tblPr>
        <w:tblInd w:w="0" w:type="dxa"/>
        <w:tblLayout w:type="fixed"/>
        <w:tblCellMar>
          <w:top w:w="102" w:type="dxa"/>
          <w:left w:w="62" w:type="dxa"/>
          <w:bottom w:w="102" w:type="dxa"/>
          <w:right w:w="62" w:type="dxa"/>
        </w:tblCellMar>
      </w:tblPr>
      <w:tblGrid>
        <w:gridCol w:w="2041"/>
        <w:gridCol w:w="7030"/>
      </w:tblGrid>
      <w:tr>
        <w:tc>
          <w:tcPr>
            <w:gridSpan w:val="2"/>
            <w:tcW w:w="9071" w:type="dxa"/>
            <w:tcBorders>
              <w:top w:val="nil"/>
              <w:left w:val="nil"/>
              <w:bottom w:val="nil"/>
              <w:right w:val="nil"/>
            </w:tcBorders>
          </w:tcPr>
          <w:bookmarkStart w:id="153" w:name="P153"/>
          <w:bookmarkEnd w:id="153"/>
          <w:p>
            <w:pPr>
              <w:pStyle w:val="0"/>
              <w:jc w:val="center"/>
            </w:pPr>
            <w:r>
              <w:rPr>
                <w:sz w:val="20"/>
              </w:rPr>
              <w:t xml:space="preserve">ЗАЯВЛЕНИЕ</w:t>
            </w:r>
          </w:p>
          <w:p>
            <w:pPr>
              <w:pStyle w:val="0"/>
              <w:jc w:val="center"/>
            </w:pPr>
            <w:r>
              <w:rPr>
                <w:sz w:val="20"/>
              </w:rPr>
              <w:t xml:space="preserve">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w:t>
            </w:r>
          </w:p>
        </w:tc>
      </w:tr>
      <w:tr>
        <w:tc>
          <w:tcPr>
            <w:gridSpan w:val="2"/>
            <w:tcW w:w="9071" w:type="dxa"/>
            <w:tcBorders>
              <w:top w:val="nil"/>
              <w:left w:val="nil"/>
              <w:bottom w:val="nil"/>
              <w:right w:val="nil"/>
            </w:tcBorders>
          </w:tcPr>
          <w:p>
            <w:pPr>
              <w:pStyle w:val="0"/>
              <w:jc w:val="both"/>
            </w:pPr>
            <w:r>
              <w:rPr>
                <w:sz w:val="20"/>
              </w:rPr>
            </w:r>
          </w:p>
        </w:tc>
      </w:tr>
      <w:tr>
        <w:tc>
          <w:tcPr>
            <w:gridSpan w:val="2"/>
            <w:tcW w:w="9071" w:type="dxa"/>
            <w:tcBorders>
              <w:top w:val="nil"/>
              <w:left w:val="nil"/>
              <w:bottom w:val="nil"/>
              <w:right w:val="nil"/>
            </w:tcBorders>
          </w:tcPr>
          <w:p>
            <w:pPr>
              <w:pStyle w:val="0"/>
              <w:ind w:firstLine="283"/>
              <w:jc w:val="both"/>
            </w:pPr>
            <w:r>
              <w:rPr>
                <w:sz w:val="20"/>
              </w:rPr>
              <w:t xml:space="preserve">Сообщаю, что я не имею возможности представить сведения о доходах, расходах, об имуществе и обязательствах имущественного характера своей (своего)</w:t>
            </w:r>
          </w:p>
        </w:tc>
      </w:tr>
      <w:tr>
        <w:tc>
          <w:tcPr>
            <w:gridSpan w:val="2"/>
            <w:tcW w:w="9071" w:type="dxa"/>
            <w:tcBorders>
              <w:top w:val="nil"/>
              <w:left w:val="nil"/>
              <w:bottom w:val="single" w:sz="4"/>
              <w:right w:val="nil"/>
            </w:tcBorders>
          </w:tcPr>
          <w:p>
            <w:pPr>
              <w:pStyle w:val="0"/>
              <w:jc w:val="both"/>
            </w:pPr>
            <w:r>
              <w:rPr>
                <w:sz w:val="20"/>
              </w:rPr>
            </w:r>
          </w:p>
        </w:tc>
      </w:tr>
      <w:tr>
        <w:tc>
          <w:tcPr>
            <w:gridSpan w:val="2"/>
            <w:tcW w:w="9071" w:type="dxa"/>
            <w:tcBorders>
              <w:top w:val="single" w:sz="4"/>
              <w:left w:val="nil"/>
              <w:bottom w:val="nil"/>
              <w:right w:val="nil"/>
            </w:tcBorders>
          </w:tcPr>
          <w:p>
            <w:pPr>
              <w:pStyle w:val="0"/>
              <w:jc w:val="center"/>
            </w:pPr>
            <w:r>
              <w:rPr>
                <w:sz w:val="20"/>
              </w:rPr>
              <w:t xml:space="preserve">(Ф.И.О. супруги, супруга и (или) несовершеннолетних детей)</w:t>
            </w:r>
          </w:p>
        </w:tc>
      </w:tr>
      <w:tr>
        <w:tc>
          <w:tcPr>
            <w:gridSpan w:val="2"/>
            <w:tcW w:w="9071" w:type="dxa"/>
            <w:tcBorders>
              <w:top w:val="nil"/>
              <w:left w:val="nil"/>
              <w:bottom w:val="single" w:sz="4"/>
              <w:right w:val="nil"/>
            </w:tcBorders>
          </w:tcPr>
          <w:p>
            <w:pPr>
              <w:pStyle w:val="0"/>
              <w:jc w:val="both"/>
            </w:pPr>
            <w:r>
              <w:rPr>
                <w:sz w:val="20"/>
              </w:rPr>
            </w:r>
          </w:p>
        </w:tc>
      </w:tr>
      <w:tr>
        <w:tblPrEx>
          <w:tblBorders>
            <w:insideH w:val="single" w:sz="4"/>
          </w:tblBorders>
        </w:tblPrEx>
        <w:tc>
          <w:tcPr>
            <w:tcW w:w="2041" w:type="dxa"/>
            <w:vAlign w:val="bottom"/>
            <w:tcBorders>
              <w:top w:val="single" w:sz="4"/>
              <w:left w:val="nil"/>
              <w:bottom w:val="nil"/>
              <w:right w:val="nil"/>
            </w:tcBorders>
          </w:tcPr>
          <w:p>
            <w:pPr>
              <w:pStyle w:val="0"/>
              <w:jc w:val="both"/>
            </w:pPr>
            <w:r>
              <w:rPr>
                <w:sz w:val="20"/>
              </w:rPr>
              <w:t xml:space="preserve">в связи с тем, что</w:t>
            </w:r>
          </w:p>
        </w:tc>
        <w:tc>
          <w:tcPr>
            <w:tcW w:w="7030" w:type="dxa"/>
            <w:tcBorders>
              <w:top w:val="single" w:sz="4"/>
              <w:left w:val="nil"/>
              <w:bottom w:val="single" w:sz="4"/>
              <w:right w:val="nil"/>
            </w:tcBorders>
          </w:tcPr>
          <w:p>
            <w:pPr>
              <w:pStyle w:val="0"/>
              <w:jc w:val="both"/>
            </w:pPr>
            <w:r>
              <w:rPr>
                <w:sz w:val="20"/>
              </w:rPr>
            </w:r>
          </w:p>
        </w:tc>
      </w:tr>
      <w:tr>
        <w:tc>
          <w:tcPr>
            <w:tcW w:w="2041" w:type="dxa"/>
            <w:tcBorders>
              <w:top w:val="nil"/>
              <w:left w:val="nil"/>
              <w:bottom w:val="nil"/>
              <w:right w:val="nil"/>
            </w:tcBorders>
          </w:tcPr>
          <w:p>
            <w:pPr>
              <w:pStyle w:val="0"/>
              <w:jc w:val="both"/>
            </w:pPr>
            <w:r>
              <w:rPr>
                <w:sz w:val="20"/>
              </w:rPr>
            </w:r>
          </w:p>
        </w:tc>
        <w:tc>
          <w:tcPr>
            <w:tcW w:w="7030" w:type="dxa"/>
            <w:tcBorders>
              <w:top w:val="single" w:sz="4"/>
              <w:left w:val="nil"/>
              <w:bottom w:val="nil"/>
              <w:right w:val="nil"/>
            </w:tcBorders>
          </w:tcPr>
          <w:p>
            <w:pPr>
              <w:pStyle w:val="0"/>
              <w:jc w:val="center"/>
            </w:pPr>
            <w:r>
              <w:rPr>
                <w:sz w:val="20"/>
              </w:rPr>
              <w:t xml:space="preserve">(указываются все причины и обстоятельства, необходимые для того, чтобы Комиссия</w:t>
            </w:r>
          </w:p>
        </w:tc>
      </w:tr>
      <w:tr>
        <w:tc>
          <w:tcPr>
            <w:gridSpan w:val="2"/>
            <w:tcW w:w="9071" w:type="dxa"/>
            <w:tcBorders>
              <w:top w:val="nil"/>
              <w:left w:val="nil"/>
              <w:bottom w:val="single" w:sz="4"/>
              <w:right w:val="nil"/>
            </w:tcBorders>
          </w:tcPr>
          <w:p>
            <w:pPr>
              <w:pStyle w:val="0"/>
              <w:jc w:val="both"/>
            </w:pPr>
            <w:r>
              <w:rPr>
                <w:sz w:val="20"/>
              </w:rPr>
            </w:r>
          </w:p>
        </w:tc>
      </w:tr>
      <w:tr>
        <w:tc>
          <w:tcPr>
            <w:gridSpan w:val="2"/>
            <w:tcW w:w="9071" w:type="dxa"/>
            <w:tcBorders>
              <w:top w:val="single" w:sz="4"/>
              <w:left w:val="nil"/>
              <w:bottom w:val="nil"/>
              <w:right w:val="nil"/>
            </w:tcBorders>
          </w:tcPr>
          <w:p>
            <w:pPr>
              <w:pStyle w:val="0"/>
              <w:jc w:val="center"/>
            </w:pPr>
            <w:r>
              <w:rPr>
                <w:sz w:val="20"/>
              </w:rPr>
              <w:t xml:space="preserve">могла сделать вывод о том, что непредставление сведений носит объективный характер)</w:t>
            </w:r>
          </w:p>
        </w:tc>
      </w:tr>
      <w:tr>
        <w:tc>
          <w:tcPr>
            <w:gridSpan w:val="2"/>
            <w:tcW w:w="9071" w:type="dxa"/>
            <w:tcBorders>
              <w:top w:val="nil"/>
              <w:left w:val="nil"/>
              <w:bottom w:val="nil"/>
              <w:right w:val="nil"/>
            </w:tcBorders>
          </w:tcPr>
          <w:p>
            <w:pPr>
              <w:pStyle w:val="0"/>
              <w:jc w:val="both"/>
            </w:pPr>
            <w:r>
              <w:rPr>
                <w:sz w:val="20"/>
              </w:rPr>
              <w:t xml:space="preserve">К заявлению прилагаю следующие дополнительные материалы (при наличии):</w:t>
            </w:r>
          </w:p>
        </w:tc>
      </w:tr>
      <w:tr>
        <w:tc>
          <w:tcPr>
            <w:gridSpan w:val="2"/>
            <w:tcW w:w="9071" w:type="dxa"/>
            <w:tcBorders>
              <w:top w:val="nil"/>
              <w:left w:val="nil"/>
              <w:bottom w:val="single" w:sz="4"/>
              <w:right w:val="nil"/>
            </w:tcBorders>
          </w:tcPr>
          <w:p>
            <w:pPr>
              <w:pStyle w:val="0"/>
              <w:jc w:val="both"/>
            </w:pPr>
            <w:r>
              <w:rPr>
                <w:sz w:val="20"/>
              </w:rPr>
            </w:r>
          </w:p>
        </w:tc>
      </w:tr>
      <w:tr>
        <w:tc>
          <w:tcPr>
            <w:gridSpan w:val="2"/>
            <w:tcW w:w="9071" w:type="dxa"/>
            <w:tcBorders>
              <w:top w:val="single" w:sz="4"/>
              <w:left w:val="nil"/>
              <w:bottom w:val="nil"/>
              <w:right w:val="nil"/>
            </w:tcBorders>
          </w:tcPr>
          <w:p>
            <w:pPr>
              <w:pStyle w:val="0"/>
              <w:jc w:val="center"/>
            </w:pPr>
            <w:r>
              <w:rPr>
                <w:sz w:val="20"/>
              </w:rPr>
              <w:t xml:space="preserve">(указываются дополнительные материалы)</w:t>
            </w:r>
          </w:p>
        </w:tc>
      </w:tr>
      <w:tr>
        <w:tc>
          <w:tcPr>
            <w:gridSpan w:val="2"/>
            <w:tcW w:w="9071" w:type="dxa"/>
            <w:tcBorders>
              <w:top w:val="nil"/>
              <w:left w:val="nil"/>
              <w:bottom w:val="single" w:sz="4"/>
              <w:right w:val="nil"/>
            </w:tcBorders>
          </w:tcPr>
          <w:p>
            <w:pPr>
              <w:pStyle w:val="0"/>
              <w:jc w:val="both"/>
            </w:pPr>
            <w:r>
              <w:rPr>
                <w:sz w:val="20"/>
              </w:rPr>
            </w:r>
          </w:p>
        </w:tc>
      </w:tr>
      <w:tr>
        <w:tblPrEx>
          <w:tblBorders>
            <w:insideH w:val="single" w:sz="4"/>
          </w:tblBorders>
        </w:tblPrEx>
        <w:tc>
          <w:tcPr>
            <w:gridSpan w:val="2"/>
            <w:tcW w:w="9071" w:type="dxa"/>
            <w:tcBorders>
              <w:top w:val="single" w:sz="4"/>
              <w:left w:val="nil"/>
              <w:bottom w:val="single" w:sz="4"/>
              <w:right w:val="nil"/>
            </w:tcBorders>
          </w:tcPr>
          <w:p>
            <w:pPr>
              <w:pStyle w:val="0"/>
              <w:jc w:val="both"/>
            </w:pPr>
            <w:r>
              <w:rPr>
                <w:sz w:val="20"/>
              </w:rPr>
            </w:r>
          </w:p>
        </w:tc>
      </w:tr>
      <w:tr>
        <w:tc>
          <w:tcPr>
            <w:gridSpan w:val="2"/>
            <w:tcW w:w="9071" w:type="dxa"/>
            <w:tcBorders>
              <w:top w:val="single" w:sz="4"/>
              <w:left w:val="nil"/>
              <w:bottom w:val="nil"/>
              <w:right w:val="nil"/>
            </w:tcBorders>
          </w:tcPr>
          <w:p>
            <w:pPr>
              <w:pStyle w:val="0"/>
              <w:jc w:val="both"/>
            </w:pPr>
            <w:r>
              <w:rPr>
                <w:sz w:val="20"/>
              </w:rPr>
              <w:t xml:space="preserve">Меры, принятые гражданским служащим по представлению указанных сведений:</w:t>
            </w:r>
          </w:p>
        </w:tc>
      </w:tr>
      <w:tr>
        <w:tc>
          <w:tcPr>
            <w:gridSpan w:val="2"/>
            <w:tcW w:w="9071" w:type="dxa"/>
            <w:tcBorders>
              <w:top w:val="nil"/>
              <w:left w:val="nil"/>
              <w:bottom w:val="single" w:sz="4"/>
              <w:right w:val="nil"/>
            </w:tcBorders>
          </w:tcPr>
          <w:p>
            <w:pPr>
              <w:pStyle w:val="0"/>
              <w:jc w:val="both"/>
            </w:pPr>
            <w:r>
              <w:rPr>
                <w:sz w:val="20"/>
              </w:rPr>
            </w:r>
          </w:p>
        </w:tc>
      </w:tr>
      <w:tr>
        <w:tblPrEx>
          <w:tblBorders>
            <w:insideH w:val="single" w:sz="4"/>
          </w:tblBorders>
        </w:tblPrEx>
        <w:tc>
          <w:tcPr>
            <w:gridSpan w:val="2"/>
            <w:tcW w:w="9071" w:type="dxa"/>
            <w:tcBorders>
              <w:top w:val="single" w:sz="4"/>
              <w:left w:val="nil"/>
              <w:bottom w:val="single" w:sz="4"/>
              <w:right w:val="nil"/>
            </w:tcBorders>
          </w:tcPr>
          <w:p>
            <w:pPr>
              <w:pStyle w:val="0"/>
              <w:jc w:val="both"/>
            </w:pPr>
            <w:r>
              <w:rPr>
                <w:sz w:val="20"/>
              </w:rPr>
            </w:r>
          </w:p>
        </w:tc>
      </w:tr>
      <w:tr>
        <w:tblPrEx>
          <w:tblBorders>
            <w:insideH w:val="single" w:sz="4"/>
          </w:tblBorders>
        </w:tblPrEx>
        <w:tc>
          <w:tcPr>
            <w:gridSpan w:val="2"/>
            <w:tcW w:w="9071" w:type="dxa"/>
            <w:tcBorders>
              <w:top w:val="single" w:sz="4"/>
              <w:left w:val="nil"/>
              <w:bottom w:val="nil"/>
              <w:right w:val="nil"/>
            </w:tcBorders>
          </w:tcPr>
          <w:p>
            <w:pPr>
              <w:pStyle w:val="0"/>
              <w:jc w:val="both"/>
            </w:pPr>
            <w:r>
              <w:rPr>
                <w:sz w:val="20"/>
              </w:rPr>
            </w:r>
          </w:p>
        </w:tc>
      </w:tr>
    </w:tbl>
    <w:p>
      <w:pPr>
        <w:pStyle w:val="0"/>
        <w:ind w:firstLine="540"/>
        <w:jc w:val="both"/>
      </w:pPr>
      <w:r>
        <w:rPr>
          <w:sz w:val="20"/>
        </w:rPr>
      </w:r>
    </w:p>
    <w:tbl>
      <w:tblPr>
        <w:tblInd w:w="0" w:type="dxa"/>
        <w:tblLayout w:type="fixed"/>
        <w:tblBorders>
          <w:insideH w:val="single" w:sz="4"/>
        </w:tblBorders>
        <w:tblCellMar>
          <w:top w:w="102" w:type="dxa"/>
          <w:left w:w="62" w:type="dxa"/>
          <w:bottom w:w="102" w:type="dxa"/>
          <w:right w:w="62" w:type="dxa"/>
        </w:tblCellMar>
      </w:tblPr>
      <w:tblGrid>
        <w:gridCol w:w="1587"/>
        <w:gridCol w:w="3175"/>
        <w:gridCol w:w="4309"/>
      </w:tblGrid>
      <w:tr>
        <w:tc>
          <w:tcPr>
            <w:tcW w:w="1587" w:type="dxa"/>
            <w:tcBorders>
              <w:top w:val="nil"/>
              <w:left w:val="nil"/>
              <w:right w:val="nil"/>
            </w:tcBorders>
          </w:tcPr>
          <w:p>
            <w:pPr>
              <w:pStyle w:val="0"/>
              <w:jc w:val="both"/>
            </w:pPr>
            <w:r>
              <w:rPr>
                <w:sz w:val="20"/>
              </w:rPr>
            </w:r>
          </w:p>
        </w:tc>
        <w:tc>
          <w:tcPr>
            <w:tcW w:w="3175" w:type="dxa"/>
            <w:tcBorders>
              <w:top w:val="nil"/>
              <w:left w:val="nil"/>
              <w:bottom w:val="nil"/>
              <w:right w:val="nil"/>
            </w:tcBorders>
          </w:tcPr>
          <w:p>
            <w:pPr>
              <w:pStyle w:val="0"/>
              <w:jc w:val="both"/>
            </w:pPr>
            <w:r>
              <w:rPr>
                <w:sz w:val="20"/>
              </w:rPr>
            </w:r>
          </w:p>
        </w:tc>
        <w:tc>
          <w:tcPr>
            <w:tcW w:w="4309" w:type="dxa"/>
            <w:tcBorders>
              <w:top w:val="nil"/>
              <w:left w:val="nil"/>
              <w:right w:val="nil"/>
            </w:tcBorders>
          </w:tcPr>
          <w:p>
            <w:pPr>
              <w:pStyle w:val="0"/>
              <w:jc w:val="both"/>
            </w:pPr>
            <w:r>
              <w:rPr>
                <w:sz w:val="20"/>
              </w:rPr>
            </w:r>
          </w:p>
        </w:tc>
      </w:tr>
      <w:tr>
        <w:tc>
          <w:tcPr>
            <w:tcW w:w="1587" w:type="dxa"/>
            <w:tcBorders>
              <w:left w:val="nil"/>
              <w:bottom w:val="nil"/>
              <w:right w:val="nil"/>
            </w:tcBorders>
          </w:tcPr>
          <w:p>
            <w:pPr>
              <w:pStyle w:val="0"/>
              <w:jc w:val="center"/>
            </w:pPr>
            <w:r>
              <w:rPr>
                <w:sz w:val="20"/>
              </w:rPr>
              <w:t xml:space="preserve">(дата)</w:t>
            </w:r>
          </w:p>
        </w:tc>
        <w:tc>
          <w:tcPr>
            <w:tcW w:w="3175" w:type="dxa"/>
            <w:tcBorders>
              <w:top w:val="nil"/>
              <w:left w:val="nil"/>
              <w:bottom w:val="nil"/>
              <w:right w:val="nil"/>
            </w:tcBorders>
          </w:tcPr>
          <w:p>
            <w:pPr>
              <w:pStyle w:val="0"/>
              <w:jc w:val="both"/>
            </w:pPr>
            <w:r>
              <w:rPr>
                <w:sz w:val="20"/>
              </w:rPr>
            </w:r>
          </w:p>
        </w:tc>
        <w:tc>
          <w:tcPr>
            <w:tcW w:w="4309" w:type="dxa"/>
            <w:tcBorders>
              <w:left w:val="nil"/>
              <w:bottom w:val="nil"/>
              <w:right w:val="nil"/>
            </w:tcBorders>
          </w:tcPr>
          <w:p>
            <w:pPr>
              <w:pStyle w:val="0"/>
              <w:jc w:val="center"/>
            </w:pPr>
            <w:r>
              <w:rPr>
                <w:sz w:val="20"/>
              </w:rPr>
              <w:t xml:space="preserve">(подпись, фамилия и инициалы)</w:t>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2</w:t>
      </w:r>
    </w:p>
    <w:p>
      <w:pPr>
        <w:pStyle w:val="0"/>
        <w:jc w:val="right"/>
      </w:pPr>
      <w:r>
        <w:rPr>
          <w:sz w:val="20"/>
        </w:rPr>
        <w:t xml:space="preserve">к Положению о представлении</w:t>
      </w:r>
    </w:p>
    <w:p>
      <w:pPr>
        <w:pStyle w:val="0"/>
        <w:jc w:val="right"/>
      </w:pPr>
      <w:r>
        <w:rPr>
          <w:sz w:val="20"/>
        </w:rPr>
        <w:t xml:space="preserve">гражданами, претендующими на</w:t>
      </w:r>
    </w:p>
    <w:p>
      <w:pPr>
        <w:pStyle w:val="0"/>
        <w:jc w:val="right"/>
      </w:pPr>
      <w:r>
        <w:rPr>
          <w:sz w:val="20"/>
        </w:rPr>
        <w:t xml:space="preserve">замещение должностей федеральной</w:t>
      </w:r>
    </w:p>
    <w:p>
      <w:pPr>
        <w:pStyle w:val="0"/>
        <w:jc w:val="right"/>
      </w:pPr>
      <w:r>
        <w:rPr>
          <w:sz w:val="20"/>
        </w:rPr>
        <w:t xml:space="preserve">государственной гражданской службы</w:t>
      </w:r>
    </w:p>
    <w:p>
      <w:pPr>
        <w:pStyle w:val="0"/>
        <w:jc w:val="right"/>
      </w:pPr>
      <w:r>
        <w:rPr>
          <w:sz w:val="20"/>
        </w:rPr>
        <w:t xml:space="preserve">в федеральных судах общей юрисдикции</w:t>
      </w:r>
    </w:p>
    <w:p>
      <w:pPr>
        <w:pStyle w:val="0"/>
        <w:jc w:val="right"/>
      </w:pPr>
      <w:r>
        <w:rPr>
          <w:sz w:val="20"/>
        </w:rPr>
        <w:t xml:space="preserve">и федеральных арбитражных судах,</w:t>
      </w:r>
    </w:p>
    <w:p>
      <w:pPr>
        <w:pStyle w:val="0"/>
        <w:jc w:val="right"/>
      </w:pPr>
      <w:r>
        <w:rPr>
          <w:sz w:val="20"/>
        </w:rPr>
        <w:t xml:space="preserve">в управлениях Судебного департамента</w:t>
      </w:r>
    </w:p>
    <w:p>
      <w:pPr>
        <w:pStyle w:val="0"/>
        <w:jc w:val="right"/>
      </w:pPr>
      <w:r>
        <w:rPr>
          <w:sz w:val="20"/>
        </w:rPr>
        <w:t xml:space="preserve">в субъектах Российской Федерации,</w:t>
      </w:r>
    </w:p>
    <w:p>
      <w:pPr>
        <w:pStyle w:val="0"/>
        <w:jc w:val="right"/>
      </w:pPr>
      <w:r>
        <w:rPr>
          <w:sz w:val="20"/>
        </w:rPr>
        <w:t xml:space="preserve">и федеральными государственными</w:t>
      </w:r>
    </w:p>
    <w:p>
      <w:pPr>
        <w:pStyle w:val="0"/>
        <w:jc w:val="right"/>
      </w:pPr>
      <w:r>
        <w:rPr>
          <w:sz w:val="20"/>
        </w:rPr>
        <w:t xml:space="preserve">гражданскими служащими, замещающими</w:t>
      </w:r>
    </w:p>
    <w:p>
      <w:pPr>
        <w:pStyle w:val="0"/>
        <w:jc w:val="right"/>
      </w:pPr>
      <w:r>
        <w:rPr>
          <w:sz w:val="20"/>
        </w:rPr>
        <w:t xml:space="preserve">должности федеральной государственной</w:t>
      </w:r>
    </w:p>
    <w:p>
      <w:pPr>
        <w:pStyle w:val="0"/>
        <w:jc w:val="right"/>
      </w:pPr>
      <w:r>
        <w:rPr>
          <w:sz w:val="20"/>
        </w:rPr>
        <w:t xml:space="preserve">гражданской службы в федеральных</w:t>
      </w:r>
    </w:p>
    <w:p>
      <w:pPr>
        <w:pStyle w:val="0"/>
        <w:jc w:val="right"/>
      </w:pPr>
      <w:r>
        <w:rPr>
          <w:sz w:val="20"/>
        </w:rPr>
        <w:t xml:space="preserve">судах общей юрисдикции и федеральных</w:t>
      </w:r>
    </w:p>
    <w:p>
      <w:pPr>
        <w:pStyle w:val="0"/>
        <w:jc w:val="right"/>
      </w:pPr>
      <w:r>
        <w:rPr>
          <w:sz w:val="20"/>
        </w:rPr>
        <w:t xml:space="preserve">арбитражных судах, в управлениях</w:t>
      </w:r>
    </w:p>
    <w:p>
      <w:pPr>
        <w:pStyle w:val="0"/>
        <w:jc w:val="right"/>
      </w:pPr>
      <w:r>
        <w:rPr>
          <w:sz w:val="20"/>
        </w:rPr>
        <w:t xml:space="preserve">Судебного департамента в субъектах</w:t>
      </w:r>
    </w:p>
    <w:p>
      <w:pPr>
        <w:pStyle w:val="0"/>
        <w:jc w:val="right"/>
      </w:pPr>
      <w:r>
        <w:rPr>
          <w:sz w:val="20"/>
        </w:rPr>
        <w:t xml:space="preserve">Российской Федерации, сведений о своих</w:t>
      </w:r>
    </w:p>
    <w:p>
      <w:pPr>
        <w:pStyle w:val="0"/>
        <w:jc w:val="right"/>
      </w:pPr>
      <w:r>
        <w:rPr>
          <w:sz w:val="20"/>
        </w:rPr>
        <w:t xml:space="preserve">доходах, расходах, об имуществе</w:t>
      </w:r>
    </w:p>
    <w:p>
      <w:pPr>
        <w:pStyle w:val="0"/>
        <w:jc w:val="right"/>
      </w:pPr>
      <w:r>
        <w:rPr>
          <w:sz w:val="20"/>
        </w:rPr>
        <w:t xml:space="preserve">и обязательствах имущественного</w:t>
      </w:r>
    </w:p>
    <w:p>
      <w:pPr>
        <w:pStyle w:val="0"/>
        <w:jc w:val="right"/>
      </w:pPr>
      <w:r>
        <w:rPr>
          <w:sz w:val="20"/>
        </w:rPr>
        <w:t xml:space="preserve">характера, а также сведений</w:t>
      </w:r>
    </w:p>
    <w:p>
      <w:pPr>
        <w:pStyle w:val="0"/>
        <w:jc w:val="right"/>
      </w:pPr>
      <w:r>
        <w:rPr>
          <w:sz w:val="20"/>
        </w:rPr>
        <w:t xml:space="preserve">о доходах, расходах, об имуществе</w:t>
      </w:r>
    </w:p>
    <w:p>
      <w:pPr>
        <w:pStyle w:val="0"/>
        <w:jc w:val="right"/>
      </w:pPr>
      <w:r>
        <w:rPr>
          <w:sz w:val="20"/>
        </w:rPr>
        <w:t xml:space="preserve">и обязательствах имущественного</w:t>
      </w:r>
    </w:p>
    <w:p>
      <w:pPr>
        <w:pStyle w:val="0"/>
        <w:jc w:val="right"/>
      </w:pPr>
      <w:r>
        <w:rPr>
          <w:sz w:val="20"/>
        </w:rPr>
        <w:t xml:space="preserve">характера супруги (супруга)</w:t>
      </w:r>
    </w:p>
    <w:p>
      <w:pPr>
        <w:pStyle w:val="0"/>
        <w:jc w:val="right"/>
      </w:pPr>
      <w:r>
        <w:rPr>
          <w:sz w:val="20"/>
        </w:rPr>
        <w:t xml:space="preserve">и несовершеннолетних детей</w:t>
      </w:r>
    </w:p>
    <w:p>
      <w:pPr>
        <w:pStyle w:val="0"/>
        <w:jc w:val="right"/>
      </w:pPr>
      <w:r>
        <w:rPr>
          <w:sz w:val="20"/>
        </w:rPr>
      </w:r>
    </w:p>
    <w:bookmarkStart w:id="212" w:name="P212"/>
    <w:bookmarkEnd w:id="212"/>
    <w:p>
      <w:pPr>
        <w:pStyle w:val="0"/>
        <w:jc w:val="center"/>
      </w:pPr>
      <w:r>
        <w:rPr>
          <w:sz w:val="20"/>
        </w:rPr>
        <w:t xml:space="preserve">ЖУРНАЛ</w:t>
      </w:r>
    </w:p>
    <w:p>
      <w:pPr>
        <w:pStyle w:val="0"/>
        <w:jc w:val="center"/>
      </w:pPr>
      <w:r>
        <w:rPr>
          <w:sz w:val="20"/>
        </w:rPr>
        <w:t xml:space="preserve">регистрации заявлений о невозможности по объективным</w:t>
      </w:r>
    </w:p>
    <w:p>
      <w:pPr>
        <w:pStyle w:val="0"/>
        <w:jc w:val="center"/>
      </w:pPr>
      <w:r>
        <w:rPr>
          <w:sz w:val="20"/>
        </w:rPr>
        <w:t xml:space="preserve">причинам представить сведения о доходах, расходах,</w:t>
      </w:r>
    </w:p>
    <w:p>
      <w:pPr>
        <w:pStyle w:val="0"/>
        <w:jc w:val="center"/>
      </w:pPr>
      <w:r>
        <w:rPr>
          <w:sz w:val="20"/>
        </w:rPr>
        <w:t xml:space="preserve">об имуществе и обязательствах имущественного характера</w:t>
      </w:r>
    </w:p>
    <w:p>
      <w:pPr>
        <w:pStyle w:val="0"/>
        <w:jc w:val="center"/>
      </w:pPr>
      <w:r>
        <w:rPr>
          <w:sz w:val="20"/>
        </w:rPr>
        <w:t xml:space="preserve">своих супруги (супруга) и (или) несовершеннолетних детей</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42"/>
        <w:gridCol w:w="1814"/>
        <w:gridCol w:w="1099"/>
        <w:gridCol w:w="2381"/>
        <w:gridCol w:w="1417"/>
        <w:gridCol w:w="1814"/>
      </w:tblGrid>
      <w:tr>
        <w:tc>
          <w:tcPr>
            <w:tcW w:w="542" w:type="dxa"/>
          </w:tcPr>
          <w:p>
            <w:pPr>
              <w:pStyle w:val="0"/>
              <w:jc w:val="center"/>
            </w:pPr>
            <w:r>
              <w:rPr>
                <w:sz w:val="20"/>
              </w:rPr>
              <w:t xml:space="preserve">N п/п</w:t>
            </w:r>
          </w:p>
        </w:tc>
        <w:tc>
          <w:tcPr>
            <w:tcW w:w="1814" w:type="dxa"/>
          </w:tcPr>
          <w:p>
            <w:pPr>
              <w:pStyle w:val="0"/>
              <w:jc w:val="center"/>
            </w:pPr>
            <w:r>
              <w:rPr>
                <w:sz w:val="20"/>
              </w:rPr>
              <w:t xml:space="preserve">ФИО представившего заявление</w:t>
            </w:r>
          </w:p>
        </w:tc>
        <w:tc>
          <w:tcPr>
            <w:tcW w:w="1099" w:type="dxa"/>
          </w:tcPr>
          <w:p>
            <w:pPr>
              <w:pStyle w:val="0"/>
              <w:jc w:val="center"/>
            </w:pPr>
            <w:r>
              <w:rPr>
                <w:sz w:val="20"/>
              </w:rPr>
              <w:t xml:space="preserve">Должность</w:t>
            </w:r>
          </w:p>
        </w:tc>
        <w:tc>
          <w:tcPr>
            <w:tcW w:w="2381" w:type="dxa"/>
          </w:tcPr>
          <w:p>
            <w:pPr>
              <w:pStyle w:val="0"/>
              <w:jc w:val="center"/>
            </w:pPr>
            <w:r>
              <w:rPr>
                <w:sz w:val="20"/>
              </w:rPr>
              <w:t xml:space="preserve">ФИО и статус лица, в отношении которого невозможно представить сведения о доходах</w:t>
            </w:r>
          </w:p>
        </w:tc>
        <w:tc>
          <w:tcPr>
            <w:tcW w:w="1417" w:type="dxa"/>
          </w:tcPr>
          <w:p>
            <w:pPr>
              <w:pStyle w:val="0"/>
              <w:jc w:val="center"/>
            </w:pPr>
            <w:r>
              <w:rPr>
                <w:sz w:val="20"/>
              </w:rPr>
              <w:t xml:space="preserve">Причины невозможности представить сведения о доходах</w:t>
            </w:r>
          </w:p>
        </w:tc>
        <w:tc>
          <w:tcPr>
            <w:tcW w:w="1814" w:type="dxa"/>
          </w:tcPr>
          <w:p>
            <w:pPr>
              <w:pStyle w:val="0"/>
              <w:jc w:val="center"/>
            </w:pPr>
            <w:r>
              <w:rPr>
                <w:sz w:val="20"/>
              </w:rPr>
              <w:t xml:space="preserve">ФИО, подпись должностного лица, принявшего заявление, дата</w:t>
            </w:r>
          </w:p>
        </w:tc>
      </w:tr>
      <w:tr>
        <w:tc>
          <w:tcPr>
            <w:tcW w:w="542" w:type="dxa"/>
            <w:vAlign w:val="center"/>
          </w:tcPr>
          <w:p>
            <w:pPr>
              <w:pStyle w:val="0"/>
              <w:jc w:val="center"/>
            </w:pPr>
            <w:r>
              <w:rPr>
                <w:sz w:val="20"/>
              </w:rPr>
              <w:t xml:space="preserve">1.</w:t>
            </w:r>
          </w:p>
        </w:tc>
        <w:tc>
          <w:tcPr>
            <w:tcW w:w="1814" w:type="dxa"/>
          </w:tcPr>
          <w:p>
            <w:pPr>
              <w:pStyle w:val="0"/>
            </w:pPr>
            <w:r>
              <w:rPr>
                <w:sz w:val="20"/>
              </w:rPr>
            </w:r>
          </w:p>
        </w:tc>
        <w:tc>
          <w:tcPr>
            <w:tcW w:w="1099" w:type="dxa"/>
          </w:tcPr>
          <w:p>
            <w:pPr>
              <w:pStyle w:val="0"/>
            </w:pPr>
            <w:r>
              <w:rPr>
                <w:sz w:val="20"/>
              </w:rPr>
            </w:r>
          </w:p>
        </w:tc>
        <w:tc>
          <w:tcPr>
            <w:tcW w:w="2381" w:type="dxa"/>
          </w:tcPr>
          <w:p>
            <w:pPr>
              <w:pStyle w:val="0"/>
            </w:pPr>
            <w:r>
              <w:rPr>
                <w:sz w:val="20"/>
              </w:rPr>
            </w:r>
          </w:p>
        </w:tc>
        <w:tc>
          <w:tcPr>
            <w:tcW w:w="1417" w:type="dxa"/>
          </w:tcPr>
          <w:p>
            <w:pPr>
              <w:pStyle w:val="0"/>
            </w:pPr>
            <w:r>
              <w:rPr>
                <w:sz w:val="20"/>
              </w:rPr>
            </w:r>
          </w:p>
        </w:tc>
        <w:tc>
          <w:tcPr>
            <w:tcW w:w="1814" w:type="dxa"/>
          </w:tcPr>
          <w:p>
            <w:pPr>
              <w:pStyle w:val="0"/>
            </w:pPr>
            <w:r>
              <w:rPr>
                <w:sz w:val="20"/>
              </w:rPr>
            </w:r>
          </w:p>
        </w:tc>
      </w:tr>
    </w:tbl>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Судебного департамента при Верховном Суде РФ от 31.10.2023 N 226</w:t>
            <w:br/>
            <w:t>"Об утверждении Положения о представлении гражда...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05.12.2024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42435&amp;dst=100142" TargetMode = "External"/>
	<Relationship Id="rId8" Type="http://schemas.openxmlformats.org/officeDocument/2006/relationships/hyperlink" Target="https://login.consultant.ru/link/?req=doc&amp;base=LAW&amp;n=450741&amp;dst=100038" TargetMode = "External"/>
	<Relationship Id="rId9" Type="http://schemas.openxmlformats.org/officeDocument/2006/relationships/hyperlink" Target="https://login.consultant.ru/link/?req=doc&amp;base=LAW&amp;n=386578" TargetMode = "External"/>
	<Relationship Id="rId10" Type="http://schemas.openxmlformats.org/officeDocument/2006/relationships/hyperlink" Target="https://login.consultant.ru/link/?req=doc&amp;base=LAW&amp;n=195917" TargetMode = "External"/>
	<Relationship Id="rId11" Type="http://schemas.openxmlformats.org/officeDocument/2006/relationships/hyperlink" Target="https://login.consultant.ru/link/?req=doc&amp;base=LAW&amp;n=307904" TargetMode = "External"/>
	<Relationship Id="rId12" Type="http://schemas.openxmlformats.org/officeDocument/2006/relationships/hyperlink" Target="https://login.consultant.ru/link/?req=doc&amp;base=LAW&amp;n=442435&amp;dst=100127"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Судебного департамента при Верховном Суде РФ от 31.10.2023 N 226
"Об утверждении Положения о представлении гражданами,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федеральных судах общей юрисдикци</dc:title>
  <dcterms:created xsi:type="dcterms:W3CDTF">2024-12-05T08:15:26Z</dcterms:created>
</cp:coreProperties>
</file>