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Normal"/>
        <w:widowControl w:val="false"/>
        <w:spacing w:line="480" w:lineRule="auto"/>
        <w:jc w:val="center"/>
        <w:rPr>
          <w:b/>
          <w:bCs/>
          <w:color w:val="000000"/>
          <w:spacing w:val="26"/>
          <w:sz w:val="26"/>
          <w:szCs w:val="26"/>
          <w:u w:val="none"/>
        </w:rPr>
      </w:pPr>
      <w:r>
        <w:rPr>
          <w:color w:val="000000"/>
          <w:u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3611" cy="806387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"/>
                        <a:srcRect l="-406" t="-313" r="-406" b="-3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611" cy="80638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9.10pt;height:63.50pt;mso-wrap-distance-left:0.00pt;mso-wrap-distance-top:0.00pt;mso-wrap-distance-right:0.00pt;mso-wrap-distance-bottom:0.00pt;z-index:1;" stroked="false">
                <v:imagedata r:id="rId7" o:title="" croptop="-204f" cropleft="-265f" cropbottom="-204f" cropright="-265f"/>
                <o:lock v:ext="edit" rotation="t"/>
              </v:shape>
            </w:pict>
          </mc:Fallback>
        </mc:AlternateContent>
      </w:r>
      <w:r>
        <w:rPr>
          <w:b/>
          <w:bCs/>
          <w:color w:val="000000"/>
          <w:spacing w:val="26"/>
          <w:sz w:val="26"/>
          <w:szCs w:val="26"/>
          <w:u w:val="none"/>
        </w:rPr>
      </w:r>
    </w:p>
    <w:p>
      <w:pPr>
        <w:pStyle w:val="Normal"/>
        <w:widowControl w:val="false"/>
        <w:jc w:val="center"/>
        <w:rPr>
          <w:b/>
          <w:bCs/>
          <w:color w:val="000000"/>
          <w:spacing w:val="26"/>
          <w:sz w:val="26"/>
          <w:szCs w:val="26"/>
          <w:u w:val="none"/>
        </w:rPr>
      </w:pPr>
      <w:r>
        <w:rPr>
          <w:b/>
          <w:bCs/>
          <w:color w:val="000000"/>
          <w:spacing w:val="26"/>
          <w:sz w:val="26"/>
          <w:szCs w:val="26"/>
          <w:u w:val="none"/>
        </w:rPr>
        <w:t xml:space="preserve">Российская Федерация</w:t>
      </w:r>
      <w:r>
        <w:rPr>
          <w:b/>
          <w:bCs/>
          <w:color w:val="000000"/>
          <w:spacing w:val="26"/>
          <w:sz w:val="26"/>
          <w:szCs w:val="26"/>
          <w:u w:val="none"/>
        </w:rPr>
      </w:r>
    </w:p>
    <w:p>
      <w:pPr>
        <w:pStyle w:val="Normal"/>
        <w:keepNext w:val="true"/>
        <w:widowControl w:val="false"/>
        <w:jc w:val="center"/>
        <w:rPr>
          <w:b/>
          <w:bCs/>
          <w:color w:val="000000"/>
          <w:spacing w:val="26"/>
          <w:sz w:val="26"/>
          <w:szCs w:val="26"/>
          <w:u w:val="none"/>
        </w:rPr>
      </w:pPr>
      <w:r>
        <w:rPr>
          <w:b/>
          <w:bCs/>
          <w:color w:val="000000"/>
          <w:spacing w:val="26"/>
          <w:sz w:val="26"/>
          <w:szCs w:val="26"/>
          <w:u w:val="none"/>
        </w:rPr>
        <w:t xml:space="preserve">Республика Карелия</w:t>
      </w:r>
      <w:r>
        <w:rPr>
          <w:b/>
          <w:bCs/>
          <w:color w:val="000000"/>
          <w:spacing w:val="26"/>
          <w:sz w:val="26"/>
          <w:szCs w:val="26"/>
          <w:u w:val="none"/>
        </w:rPr>
      </w:r>
    </w:p>
    <w:p>
      <w:pPr>
        <w:pStyle w:val="Normal"/>
        <w:keepNext w:val="true"/>
        <w:widowControl w:val="false"/>
        <w:jc w:val="center"/>
        <w:rPr>
          <w:b/>
          <w:bCs/>
          <w:color w:val="000000"/>
          <w:spacing w:val="26"/>
          <w:sz w:val="26"/>
          <w:szCs w:val="26"/>
          <w:u w:val="none"/>
        </w:rPr>
      </w:pPr>
      <w:r>
        <w:rPr>
          <w:b/>
          <w:bCs/>
          <w:color w:val="000000"/>
          <w:spacing w:val="26"/>
          <w:sz w:val="26"/>
          <w:szCs w:val="26"/>
          <w:u w:val="none"/>
        </w:rPr>
      </w:r>
    </w:p>
    <w:p>
      <w:pPr>
        <w:pStyle w:val="Normal"/>
        <w:keepNext w:val="true"/>
        <w:widowControl w:val="false"/>
        <w:jc w:val="center"/>
        <w:rPr>
          <w:b/>
          <w:bCs/>
          <w:color w:val="000000"/>
          <w:sz w:val="28"/>
          <w:szCs w:val="28"/>
          <w:u w:val="none"/>
        </w:rPr>
      </w:pPr>
      <w:r>
        <w:rPr>
          <w:b/>
          <w:bCs/>
          <w:color w:val="000000"/>
          <w:sz w:val="28"/>
          <w:szCs w:val="28"/>
          <w:u w:val="none"/>
        </w:rPr>
        <w:t xml:space="preserve">УПРАВЛЕНИЕ </w:t>
      </w:r>
      <w:r>
        <w:rPr>
          <w:b/>
          <w:bCs/>
          <w:color w:val="000000"/>
          <w:sz w:val="28"/>
          <w:szCs w:val="28"/>
          <w:u w:val="none"/>
        </w:rPr>
      </w:r>
    </w:p>
    <w:p>
      <w:pPr>
        <w:pStyle w:val="Normal"/>
        <w:keepNext w:val="true"/>
        <w:widowControl w:val="false"/>
        <w:jc w:val="center"/>
        <w:rPr>
          <w:b/>
          <w:bCs/>
          <w:color w:val="000000"/>
          <w:sz w:val="28"/>
          <w:szCs w:val="28"/>
          <w:u w:val="none"/>
        </w:rPr>
      </w:pPr>
      <w:r>
        <w:rPr>
          <w:b/>
          <w:bCs/>
          <w:color w:val="000000"/>
          <w:sz w:val="28"/>
          <w:szCs w:val="28"/>
          <w:u w:val="none"/>
        </w:rPr>
        <w:t xml:space="preserve">ПО ОБЕСПЕЧЕНИЮ ДЕЯТЕЛЬНОСТИ </w:t>
      </w:r>
      <w:r>
        <w:rPr>
          <w:b/>
          <w:bCs/>
          <w:color w:val="000000"/>
          <w:sz w:val="28"/>
          <w:szCs w:val="28"/>
          <w:u w:val="none"/>
        </w:rPr>
      </w:r>
    </w:p>
    <w:p>
      <w:pPr>
        <w:pStyle w:val="Normal"/>
        <w:keepNext w:val="true"/>
        <w:widowControl w:val="false"/>
        <w:jc w:val="center"/>
        <w:rPr>
          <w:b/>
          <w:bCs/>
          <w:color w:val="000000"/>
          <w:sz w:val="28"/>
          <w:szCs w:val="28"/>
          <w:u w:val="none"/>
        </w:rPr>
      </w:pPr>
      <w:r>
        <w:rPr>
          <w:b/>
          <w:bCs/>
          <w:color w:val="000000"/>
          <w:sz w:val="28"/>
          <w:szCs w:val="28"/>
          <w:u w:val="none"/>
        </w:rPr>
        <w:t xml:space="preserve">МИРОВЫХ СУДЕЙ</w:t>
      </w:r>
      <w:r>
        <w:rPr>
          <w:b/>
          <w:bCs/>
          <w:color w:val="000000"/>
          <w:sz w:val="28"/>
          <w:szCs w:val="28"/>
          <w:u w:val="none"/>
        </w:rPr>
      </w:r>
    </w:p>
    <w:p>
      <w:pPr>
        <w:pStyle w:val="Normal"/>
        <w:widowControl w:val="false"/>
        <w:jc w:val="center"/>
        <w:rPr>
          <w:b/>
          <w:bCs/>
          <w:color w:val="000000"/>
          <w:sz w:val="28"/>
          <w:szCs w:val="28"/>
          <w:u w:val="none"/>
        </w:rPr>
      </w:pPr>
      <w:r>
        <w:rPr>
          <w:b/>
          <w:bCs/>
          <w:color w:val="000000"/>
          <w:sz w:val="28"/>
          <w:szCs w:val="28"/>
          <w:u w:val="none"/>
        </w:rPr>
      </w:r>
    </w:p>
    <w:p>
      <w:pPr>
        <w:pStyle w:val="Normal"/>
        <w:keepNext w:val="true"/>
        <w:widowControl w:val="false"/>
        <w:spacing w:line="480" w:lineRule="auto"/>
        <w:jc w:val="center"/>
        <w:rPr>
          <w:rFonts w:ascii="Liberation Serif" w:hAnsi="Liberation Serif" w:cs="Liberation Serif"/>
          <w:color w:val="000000"/>
          <w:sz w:val="26"/>
          <w:szCs w:val="26"/>
          <w:u w:val="none"/>
          <w:lang w:val="en-US"/>
        </w:rPr>
      </w:pPr>
      <w:r>
        <w:rPr>
          <w:b/>
          <w:bCs/>
          <w:color w:val="000000"/>
          <w:spacing w:val="20"/>
          <w:sz w:val="40"/>
          <w:szCs w:val="40"/>
          <w:u w:val="none"/>
        </w:rPr>
        <w:t xml:space="preserve">ПРИКАЗ</w:t>
      </w:r>
      <w:r>
        <w:rPr>
          <w:rFonts w:ascii="Liberation Serif" w:hAnsi="Liberation Serif" w:cs="Liberation Serif"/>
          <w:color w:val="000000"/>
          <w:sz w:val="26"/>
          <w:szCs w:val="26"/>
          <w:u w:val="none"/>
          <w:lang w:val="en-US"/>
        </w:rPr>
      </w:r>
    </w:p>
    <w:p>
      <w:pPr>
        <w:pStyle w:val="Normal"/>
        <w:keepNext w:val="true"/>
        <w:widowControl w:val="false"/>
        <w:spacing w:line="480" w:lineRule="auto"/>
        <w:rPr>
          <w:rFonts w:ascii="Liberation Serif" w:hAnsi="Liberation Serif" w:cs="Liberation Serif"/>
          <w:b/>
          <w:bCs/>
          <w:color w:val="000000"/>
          <w:spacing w:val="2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  <w:lang w:val="en-US"/>
        </w:rPr>
        <w:t xml:space="preserve">26</w:t>
      </w: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  <w:t xml:space="preserve"> октября 2026 г.         </w:t>
      </w:r>
      <w:r>
        <w:rPr>
          <w:rFonts w:ascii="Liberation Serif" w:hAnsi="Liberation Serif" w:cs="Liberation Serif"/>
          <w:bCs/>
          <w:color w:val="000000"/>
          <w:sz w:val="26"/>
          <w:szCs w:val="26"/>
          <w:u w:val="none"/>
        </w:rPr>
        <w:t xml:space="preserve">                                                                                    №</w:t>
      </w:r>
      <w:r>
        <w:rPr>
          <w:rFonts w:ascii="Liberation Serif" w:hAnsi="Liberation Serif" w:cs="Liberation Serif"/>
          <w:color w:val="000000"/>
          <w:sz w:val="26"/>
          <w:szCs w:val="26"/>
          <w:u w:val="none"/>
          <w:lang w:val="en-US"/>
        </w:rPr>
        <w:t xml:space="preserve"> </w:t>
      </w:r>
      <w:r>
        <w:rPr>
          <w:rFonts w:ascii="Liberation Serif" w:hAnsi="Liberation Serif" w:cs="Liberation Serif"/>
          <w:b w:val="0"/>
          <w:bCs w:val="0"/>
          <w:color w:val="000000"/>
          <w:spacing w:val="20"/>
          <w:sz w:val="26"/>
          <w:szCs w:val="26"/>
          <w:u w:val="none"/>
          <w:lang w:val="en-US"/>
        </w:rPr>
        <w:t xml:space="preserve">88</w:t>
      </w:r>
      <w:r>
        <w:rPr>
          <w:rFonts w:ascii="Liberation Serif" w:hAnsi="Liberation Serif" w:cs="Liberation Serif"/>
          <w:b/>
          <w:bCs/>
          <w:color w:val="000000"/>
          <w:spacing w:val="20"/>
          <w:sz w:val="26"/>
          <w:szCs w:val="26"/>
          <w:u w:val="none"/>
        </w:rPr>
      </w:r>
    </w:p>
    <w:p>
      <w:pPr>
        <w:pStyle w:val="Normal"/>
        <w:widowControl w:val="false"/>
        <w:spacing w:line="480" w:lineRule="auto"/>
        <w:ind w:right="-6"/>
        <w:jc w:val="center"/>
        <w:rPr>
          <w:rFonts w:ascii="Liberation Serif" w:hAnsi="Liberation Serif" w:cs="Liberation Serif"/>
          <w:b/>
          <w:color w:val="000000"/>
          <w:sz w:val="26"/>
          <w:szCs w:val="26"/>
          <w:u w:val="none"/>
        </w:rPr>
      </w:pPr>
      <w:r>
        <w:rPr>
          <w:rFonts w:ascii="Liberation Serif" w:hAnsi="Liberation Serif" w:cs="Liberation Serif"/>
          <w:b/>
          <w:bCs/>
          <w:color w:val="000000"/>
          <w:spacing w:val="20"/>
          <w:sz w:val="26"/>
          <w:szCs w:val="26"/>
          <w:u w:val="none"/>
        </w:rPr>
        <w:t xml:space="preserve">г. Петрозаводск</w:t>
      </w:r>
      <w:r>
        <w:rPr>
          <w:rFonts w:ascii="Liberation Serif" w:hAnsi="Liberation Serif" w:cs="Liberation Serif"/>
          <w:b/>
          <w:color w:val="000000"/>
          <w:sz w:val="26"/>
          <w:szCs w:val="26"/>
          <w:u w:val="none"/>
        </w:rPr>
      </w:r>
    </w:p>
    <w:p>
      <w:pPr>
        <w:pStyle w:val="Normal"/>
        <w:ind w:right="43" w:left="142"/>
        <w:jc w:val="center"/>
        <w:rPr>
          <w:b/>
          <w:color w:val="000000"/>
          <w:sz w:val="28"/>
          <w:szCs w:val="28"/>
          <w:u w:val="none"/>
        </w:rPr>
      </w:pPr>
      <w:r>
        <w:rPr>
          <w:rFonts w:ascii="Liberation Serif" w:hAnsi="Liberation Serif" w:cs="Liberation Serif"/>
          <w:b/>
          <w:color w:val="000000"/>
          <w:sz w:val="26"/>
          <w:szCs w:val="26"/>
          <w:u w:val="none"/>
        </w:rPr>
        <w:t xml:space="preserve">Об утверждении Регламента организации деятельности аппаратов мировых судей Республики Карелия и Управления Республики Карелия по обеспечению деятельности мировых судей по работе с лицевым счетом для учета операций со средствами, поступающими во временное распоряжение</w:t>
      </w:r>
      <w:r>
        <w:rPr>
          <w:b/>
          <w:color w:val="000000"/>
          <w:sz w:val="28"/>
          <w:szCs w:val="28"/>
          <w:u w:val="none"/>
        </w:rPr>
      </w:r>
    </w:p>
    <w:p>
      <w:pPr>
        <w:pStyle w:val="Normal"/>
        <w:ind w:right="43" w:left="142"/>
        <w:jc w:val="center"/>
        <w:rPr>
          <w:b/>
          <w:color w:val="000000"/>
          <w:sz w:val="28"/>
          <w:szCs w:val="28"/>
          <w:u w:val="none"/>
        </w:rPr>
      </w:pPr>
      <w:r>
        <w:rPr>
          <w:b/>
          <w:color w:val="000000"/>
          <w:sz w:val="28"/>
          <w:szCs w:val="28"/>
          <w:u w:val="none"/>
        </w:rPr>
      </w:r>
    </w:p>
    <w:p>
      <w:pPr>
        <w:pStyle w:val="Normal"/>
        <w:spacing w:line="240" w:lineRule="auto"/>
        <w:ind w:right="0" w:firstLine="540"/>
        <w:jc w:val="both"/>
        <w:rPr>
          <w:rFonts w:ascii="Liberation Serif" w:hAnsi="Liberation Serif" w:cs="Liberation Serif"/>
          <w:color w:val="000000"/>
          <w:spacing w:val="8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  <w:t xml:space="preserve">В целях упорядочения работы с лицевым счетом для учета операций со средствами, поступающими во временное распоряжение Управления Республики Карелия по обеспечению деятельности мировых судей, </w:t>
      </w:r>
      <w:r>
        <w:rPr>
          <w:rFonts w:ascii="Liberation Serif" w:hAnsi="Liberation Serif" w:cs="Liberation Serif"/>
          <w:color w:val="000000"/>
          <w:spacing w:val="80"/>
          <w:sz w:val="26"/>
          <w:szCs w:val="26"/>
          <w:u w:val="none"/>
        </w:rPr>
        <w:t xml:space="preserve">приказываю:</w:t>
      </w:r>
      <w:r>
        <w:rPr>
          <w:rFonts w:ascii="Liberation Serif" w:hAnsi="Liberation Serif" w:cs="Liberation Serif"/>
          <w:color w:val="000000"/>
          <w:spacing w:val="80"/>
          <w:sz w:val="26"/>
          <w:szCs w:val="26"/>
          <w:u w:val="none"/>
        </w:rPr>
      </w:r>
    </w:p>
    <w:p>
      <w:pPr>
        <w:pStyle w:val="Normal"/>
        <w:spacing w:line="240" w:lineRule="auto"/>
        <w:ind w:right="0" w:firstLine="540"/>
        <w:jc w:val="both"/>
        <w:rPr>
          <w:rFonts w:ascii="Liberation Serif" w:hAnsi="Liberation Serif" w:cs="Liberation Serif"/>
          <w:color w:val="000000"/>
          <w:spacing w:val="8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pacing w:val="80"/>
          <w:sz w:val="26"/>
          <w:szCs w:val="26"/>
          <w:u w:val="none"/>
        </w:rPr>
      </w:r>
    </w:p>
    <w:p>
      <w:pPr>
        <w:pStyle w:val="Normal"/>
        <w:tabs>
          <w:tab w:val="right" w:leader="none" w:pos="851"/>
          <w:tab w:val="right" w:leader="none" w:pos="993"/>
          <w:tab w:val="right" w:leader="none" w:pos="1276"/>
        </w:tabs>
        <w:spacing w:line="240" w:lineRule="auto"/>
        <w:ind w:right="0" w:firstLine="540"/>
        <w:jc w:val="both"/>
        <w:rPr>
          <w:rFonts w:ascii="Liberation Serif" w:hAnsi="Liberation Serif" w:cs="Liberation Serif"/>
          <w:color w:val="00000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  <w:t xml:space="preserve">1.</w:t>
        <w:tab/>
        <w:tab/>
        <w:t xml:space="preserve">Утвердить прилагаемый Регламент организации деятельности аппаратов мировых судей Республики Карелия и Управления Республики Карелия по обеспечению деятельности мировых судей по работе с лицевым счетом для учета операций со средствами, поступающими во временное распоряжение согласно приложению к настоящему приказу.</w:t>
      </w: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</w:r>
    </w:p>
    <w:p>
      <w:pPr>
        <w:pStyle w:val="Normal"/>
        <w:tabs>
          <w:tab w:val="right" w:leader="none" w:pos="851"/>
          <w:tab w:val="right" w:leader="none" w:pos="993"/>
          <w:tab w:val="right" w:leader="none" w:pos="1276"/>
        </w:tabs>
        <w:spacing w:line="240" w:lineRule="auto"/>
        <w:ind w:right="0" w:firstLine="540"/>
        <w:jc w:val="both"/>
        <w:rPr>
          <w:rFonts w:ascii="Liberation Serif" w:hAnsi="Liberation Serif" w:cs="Liberation Serif"/>
          <w:color w:val="00000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  <w:t xml:space="preserve">2. Довести настоящий приказ до сведения мировых судей Республики Карелия, сотрудников аппаратов судебных участков мировых судей Республики Карелия, сотрудников отдела кадровой, организационно-правовой и финансовой работы Управления Республики Карелия по обеспечению деятельности мировых судей.</w:t>
      </w: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</w:r>
    </w:p>
    <w:p>
      <w:pPr>
        <w:pStyle w:val="Normal"/>
        <w:tabs>
          <w:tab w:val="right" w:leader="none" w:pos="851"/>
          <w:tab w:val="right" w:leader="none" w:pos="993"/>
        </w:tabs>
        <w:spacing w:line="240" w:lineRule="auto"/>
        <w:ind w:right="0" w:firstLine="540"/>
        <w:jc w:val="both"/>
        <w:rPr>
          <w:rFonts w:ascii="Liberation Serif" w:hAnsi="Liberation Serif" w:cs="Liberation Serif"/>
          <w:color w:val="00000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  <w:t xml:space="preserve">3. Признать утратившим силу приказ Управления Республики Карелия по обеспечению деятельности мировых судей от 22.04.2024 № 50 «Об утверждении Регламента организации деятельности аппаратов мировых судей Республики Карелия и Управления Республики Карелия по обеспечению деятельности мировых судей по работе с лицевым счетом для учета операций со средствами, поступающими во временное распоряжение».</w:t>
      </w: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</w:r>
    </w:p>
    <w:p>
      <w:pPr>
        <w:pStyle w:val="Normal"/>
        <w:tabs>
          <w:tab w:val="right" w:leader="none" w:pos="851"/>
          <w:tab w:val="right" w:leader="none" w:pos="993"/>
        </w:tabs>
        <w:spacing w:line="240" w:lineRule="auto"/>
        <w:ind w:right="0" w:firstLine="540"/>
        <w:jc w:val="both"/>
        <w:rPr>
          <w:rFonts w:ascii="Liberation Serif" w:hAnsi="Liberation Serif" w:cs="Liberation Serif"/>
          <w:color w:val="00000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  <w:t xml:space="preserve">4. </w:t>
        <w:tab/>
        <w:t xml:space="preserve">Контроль за исполнением настоящего приказа оставляю за собой. </w:t>
      </w: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</w:r>
    </w:p>
    <w:p>
      <w:pPr>
        <w:pStyle w:val="Normal"/>
        <w:spacing w:line="240" w:lineRule="auto"/>
        <w:rPr>
          <w:rFonts w:ascii="Liberation Serif" w:hAnsi="Liberation Serif" w:cs="Liberation Serif"/>
          <w:color w:val="00000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</w:r>
    </w:p>
    <w:p>
      <w:pPr>
        <w:pStyle w:val="Normal"/>
        <w:spacing w:line="240" w:lineRule="auto"/>
        <w:rPr>
          <w:rFonts w:ascii="Liberation Serif" w:hAnsi="Liberation Serif" w:cs="Liberation Serif"/>
          <w:color w:val="00000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</w:r>
    </w:p>
    <w:p>
      <w:pPr>
        <w:pStyle w:val="Normal"/>
        <w:spacing w:line="240" w:lineRule="auto"/>
        <w:rPr>
          <w:rFonts w:ascii="Liberation Serif" w:hAnsi="Liberation Serif" w:cs="Liberation Serif"/>
          <w:color w:val="00000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  <w:t xml:space="preserve">Начальник Управления                                                                                   В.Н. Гробов</w:t>
      </w: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</w:r>
    </w:p>
    <w:p>
      <w:pPr>
        <w:pStyle w:val="Normal"/>
        <w:widowControl w:val="false"/>
        <w:spacing w:line="240" w:lineRule="auto"/>
        <w:ind w:right="0" w:firstLine="720"/>
        <w:jc w:val="right"/>
        <w:rPr>
          <w:rFonts w:ascii="Liberation Serif" w:hAnsi="Liberation Serif" w:cs="Liberation Serif"/>
          <w:color w:val="000000"/>
          <w:sz w:val="26"/>
          <w:szCs w:val="26"/>
          <w:u w:val="none"/>
        </w:rPr>
      </w:pPr>
      <w:r>
        <w:rPr>
          <w:rFonts w:ascii="Liberation Serif" w:hAnsi="Liberation Serif" w:cs="Liberation Serif"/>
          <w:color w:val="000000"/>
          <w:sz w:val="26"/>
          <w:szCs w:val="26"/>
          <w:u w:val="none"/>
        </w:rPr>
      </w:r>
    </w:p>
    <w:p>
      <w:pPr>
        <w:pStyle w:val="Normal"/>
        <w:widowControl w:val="false"/>
        <w:ind w:right="0" w:firstLine="720"/>
        <w:jc w:val="right"/>
        <w:rPr>
          <w:rFonts w:ascii="Times New Roman CYR" w:hAnsi="Times New Roman CYR" w:cs="Times New Roman CYR"/>
          <w:color w:val="000000"/>
          <w:sz w:val="26"/>
          <w:szCs w:val="26"/>
          <w:u w:val="none"/>
        </w:rPr>
      </w:pPr>
      <w:r>
        <w:rPr>
          <w:rFonts w:ascii="Times New Roman CYR" w:hAnsi="Times New Roman CYR" w:cs="Times New Roman CYR"/>
          <w:color w:val="000000"/>
          <w:sz w:val="26"/>
          <w:szCs w:val="26"/>
          <w:u w:val="none"/>
        </w:rPr>
      </w:r>
    </w:p>
    <w:p>
      <w:pPr>
        <w:pStyle w:val="Normal"/>
        <w:widowControl w:val="false"/>
        <w:ind w:right="0" w:firstLine="720"/>
        <w:jc w:val="right"/>
        <w:rPr>
          <w:rFonts w:ascii="Times New Roman CYR" w:hAnsi="Times New Roman CYR" w:cs="Times New Roman CYR"/>
          <w:color w:val="000000"/>
          <w:sz w:val="26"/>
          <w:szCs w:val="26"/>
          <w:u w:val="none"/>
        </w:rPr>
      </w:pPr>
      <w:r>
        <w:rPr>
          <w:rFonts w:ascii="Times New Roman CYR" w:hAnsi="Times New Roman CYR" w:cs="Times New Roman CYR"/>
          <w:color w:val="000000"/>
          <w:sz w:val="26"/>
          <w:szCs w:val="26"/>
          <w:u w:val="none"/>
        </w:rPr>
      </w:r>
    </w:p>
    <w:p>
      <w:pPr>
        <w:pStyle w:val="Normal"/>
        <w:widowControl w:val="false"/>
        <w:ind w:right="0" w:firstLine="720"/>
        <w:jc w:val="right"/>
        <w:rPr>
          <w:rFonts w:ascii="Times New Roman CYR" w:hAnsi="Times New Roman CYR" w:cs="Times New Roman CYR"/>
          <w:color w:val="000000"/>
          <w:u w:val="none"/>
        </w:rPr>
      </w:pPr>
      <w:r>
        <w:rPr>
          <w:rFonts w:ascii="Times New Roman CYR" w:hAnsi="Times New Roman CYR" w:cs="Times New Roman CYR"/>
          <w:color w:val="000000"/>
          <w:u w:val="none"/>
        </w:rPr>
      </w:r>
    </w:p>
    <w:p>
      <w:pPr>
        <w:pStyle w:val="Normal"/>
        <w:widowControl w:val="false"/>
        <w:ind w:right="0" w:firstLine="720"/>
        <w:jc w:val="right"/>
        <w:rPr>
          <w:rFonts w:ascii="Times New Roman CYR" w:hAnsi="Times New Roman CYR" w:cs="Times New Roman CYR"/>
          <w:color w:val="000000"/>
          <w:u w:val="none"/>
        </w:rPr>
      </w:pPr>
      <w:r>
        <w:rPr>
          <w:rFonts w:ascii="Times New Roman CYR" w:hAnsi="Times New Roman CYR" w:cs="Times New Roman CYR"/>
          <w:color w:val="000000"/>
          <w:u w:val="none"/>
        </w:rPr>
        <w:t xml:space="preserve">Приложение </w:t>
      </w:r>
      <w:r>
        <w:rPr>
          <w:rFonts w:ascii="Times New Roman CYR" w:hAnsi="Times New Roman CYR" w:cs="Times New Roman CYR"/>
          <w:color w:val="000000"/>
          <w:u w:val="none"/>
        </w:rPr>
      </w:r>
    </w:p>
    <w:p>
      <w:pPr>
        <w:pStyle w:val="Normal"/>
        <w:widowControl w:val="false"/>
        <w:ind w:right="0" w:firstLine="720"/>
        <w:jc w:val="right"/>
        <w:rPr>
          <w:rFonts w:ascii="Times New Roman CYR" w:hAnsi="Times New Roman CYR" w:cs="Times New Roman CYR"/>
          <w:color w:val="000000"/>
          <w:u w:val="none"/>
        </w:rPr>
      </w:pPr>
      <w:r>
        <w:rPr>
          <w:rFonts w:ascii="Times New Roman CYR" w:hAnsi="Times New Roman CYR" w:cs="Times New Roman CYR"/>
          <w:color w:val="000000"/>
          <w:u w:val="none"/>
        </w:rPr>
        <w:t xml:space="preserve">к приказу Управления Республики Карелия</w:t>
      </w:r>
      <w:r>
        <w:rPr>
          <w:rFonts w:ascii="Times New Roman CYR" w:hAnsi="Times New Roman CYR" w:cs="Times New Roman CYR"/>
          <w:color w:val="000000"/>
          <w:u w:val="none"/>
        </w:rPr>
      </w:r>
    </w:p>
    <w:p>
      <w:pPr>
        <w:pStyle w:val="Normal"/>
        <w:widowControl w:val="false"/>
        <w:ind w:right="0" w:firstLine="720"/>
        <w:jc w:val="right"/>
        <w:rPr>
          <w:rFonts w:ascii="Times New Roman CYR" w:hAnsi="Times New Roman CYR" w:cs="Times New Roman CYR"/>
          <w:color w:val="000000"/>
          <w:u w:val="none"/>
        </w:rPr>
      </w:pPr>
      <w:r>
        <w:rPr>
          <w:rFonts w:ascii="Times New Roman CYR" w:hAnsi="Times New Roman CYR" w:cs="Times New Roman CYR"/>
          <w:color w:val="000000"/>
          <w:u w:val="none"/>
        </w:rPr>
        <w:t xml:space="preserve">по обеспечению деятельности мировых судей</w:t>
      </w:r>
      <w:r>
        <w:rPr>
          <w:rFonts w:ascii="Times New Roman CYR" w:hAnsi="Times New Roman CYR" w:cs="Times New Roman CYR"/>
          <w:color w:val="000000"/>
          <w:u w:val="none"/>
        </w:rPr>
      </w:r>
    </w:p>
    <w:p>
      <w:pPr>
        <w:pStyle w:val="Normal"/>
        <w:widowControl w:val="false"/>
        <w:ind w:right="0" w:firstLine="720"/>
        <w:jc w:val="right"/>
        <w:rPr>
          <w:rFonts w:ascii="Times New Roman CYR" w:hAnsi="Times New Roman CYR" w:cs="Times New Roman CYR"/>
          <w:color w:val="000000"/>
          <w:u w:val="none"/>
        </w:rPr>
      </w:pPr>
      <w:r>
        <w:rPr>
          <w:rFonts w:ascii="Times New Roman CYR" w:hAnsi="Times New Roman CYR" w:cs="Times New Roman CYR"/>
          <w:color w:val="000000"/>
          <w:u w:val="none"/>
        </w:rPr>
        <w:t xml:space="preserve">от 26 октября 2026 № </w:t>
      </w:r>
      <w:r>
        <w:rPr>
          <w:rFonts w:ascii="Times New Roman CYR" w:hAnsi="Times New Roman CYR" w:cs="Times New Roman CYR"/>
          <w:color w:val="000000"/>
          <w:u w:val="none"/>
        </w:rPr>
        <w:t xml:space="preserve">88</w:t>
      </w:r>
      <w:r>
        <w:rPr>
          <w:rFonts w:ascii="Times New Roman CYR" w:hAnsi="Times New Roman CYR" w:cs="Times New Roman CYR"/>
          <w:color w:val="000000"/>
          <w:u w:val="none"/>
        </w:rPr>
      </w:r>
    </w:p>
    <w:p>
      <w:pPr>
        <w:pStyle w:val="Normal"/>
        <w:widowControl w:val="false"/>
        <w:ind w:right="0" w:firstLine="720"/>
        <w:jc w:val="right"/>
        <w:rPr>
          <w:rFonts w:ascii="Times New Roman CYR" w:hAnsi="Times New Roman CYR" w:cs="Times New Roman CYR"/>
          <w:color w:val="000000"/>
          <w:u w:val="none"/>
        </w:rPr>
      </w:pPr>
      <w:r>
        <w:rPr>
          <w:rFonts w:ascii="Times New Roman CYR" w:hAnsi="Times New Roman CYR" w:cs="Times New Roman CYR"/>
          <w:color w:val="000000"/>
          <w:u w:val="none"/>
        </w:rPr>
      </w:r>
    </w:p>
    <w:p>
      <w:pPr>
        <w:pStyle w:val="Normal"/>
        <w:widowControl w:val="false"/>
        <w:ind w:right="0" w:firstLine="720"/>
        <w:jc w:val="right"/>
        <w:rPr>
          <w:rFonts w:ascii="Times New Roman CYR" w:hAnsi="Times New Roman CYR" w:cs="Times New Roman CYR"/>
          <w:color w:val="000000"/>
          <w:u w:val="none"/>
        </w:rPr>
      </w:pPr>
      <w:r>
        <w:rPr>
          <w:rFonts w:ascii="Times New Roman CYR" w:hAnsi="Times New Roman CYR" w:cs="Times New Roman CYR"/>
          <w:color w:val="000000"/>
          <w:u w:val="none"/>
        </w:rPr>
      </w:r>
    </w:p>
    <w:p>
      <w:pPr>
        <w:pStyle w:val="Normal"/>
        <w:widowControl w:val="false"/>
        <w:ind w:right="0" w:firstLine="720"/>
        <w:jc w:val="center"/>
        <w:rPr>
          <w:b/>
          <w:color w:val="000000"/>
          <w:sz w:val="28"/>
          <w:szCs w:val="28"/>
          <w:u w:val="none"/>
        </w:rPr>
      </w:pPr>
      <w:r>
        <w:rPr>
          <w:b/>
          <w:color w:val="000000"/>
          <w:sz w:val="28"/>
          <w:szCs w:val="28"/>
          <w:u w:val="none"/>
        </w:rPr>
        <w:t xml:space="preserve">Регламент организации деятельности аппаратов мировых судей Республики Карелия и Управления Республики Карелия по обеспечению деятельности мировых судей по работе с лицевым счетом для учета операций со средствами, поступающими во временное распоряжение</w:t>
      </w:r>
      <w:r>
        <w:rPr>
          <w:b/>
          <w:color w:val="000000"/>
          <w:sz w:val="28"/>
          <w:szCs w:val="28"/>
          <w:u w:val="none"/>
        </w:rPr>
      </w:r>
    </w:p>
    <w:p>
      <w:pPr>
        <w:pStyle w:val="Normal"/>
        <w:widowControl w:val="false"/>
        <w:ind w:right="0" w:firstLine="720"/>
        <w:jc w:val="center"/>
        <w:rPr>
          <w:b/>
          <w:color w:val="000000"/>
          <w:sz w:val="28"/>
          <w:szCs w:val="28"/>
          <w:u w:val="none"/>
        </w:rPr>
      </w:pPr>
      <w:r>
        <w:rPr>
          <w:b/>
          <w:color w:val="000000"/>
          <w:sz w:val="28"/>
          <w:szCs w:val="28"/>
          <w:u w:val="none"/>
        </w:rPr>
      </w:r>
    </w:p>
    <w:p>
      <w:pPr>
        <w:pStyle w:val="Normal"/>
        <w:widowControl w:val="false"/>
        <w:ind w:right="0" w:firstLine="720"/>
        <w:jc w:val="center"/>
        <w:rPr>
          <w:rFonts w:ascii="Times New Roman CYR" w:hAnsi="Times New Roman CYR" w:cs="Times New Roman CYR"/>
          <w:b/>
          <w:color w:val="000000"/>
          <w:u w:val="none"/>
        </w:rPr>
      </w:pPr>
      <w:r>
        <w:rPr>
          <w:b/>
          <w:color w:val="000000"/>
          <w:sz w:val="28"/>
          <w:szCs w:val="28"/>
          <w:u w:val="none"/>
        </w:rPr>
        <w:t xml:space="preserve">1. Общие положения</w:t>
      </w:r>
      <w:r>
        <w:rPr>
          <w:rFonts w:ascii="Times New Roman CYR" w:hAnsi="Times New Roman CYR" w:cs="Times New Roman CYR"/>
          <w:b/>
          <w:color w:val="000000"/>
          <w:u w:val="none"/>
        </w:rPr>
      </w:r>
    </w:p>
    <w:p>
      <w:pPr>
        <w:pStyle w:val="Normal"/>
        <w:widowControl w:val="false"/>
        <w:jc w:val="both"/>
        <w:rPr>
          <w:rFonts w:ascii="Times New Roman CYR" w:hAnsi="Times New Roman CYR" w:cs="Times New Roman CYR"/>
          <w:b/>
          <w:color w:val="000000"/>
          <w:u w:val="none"/>
        </w:rPr>
      </w:pPr>
      <w:r>
        <w:rPr>
          <w:rFonts w:ascii="Times New Roman CYR" w:hAnsi="Times New Roman CYR" w:cs="Times New Roman CYR"/>
          <w:b/>
          <w:color w:val="000000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1.1. Настоящий Регламент организации деятельности аппаратов мировых судей Республики Карелия и Управления Республики Карелия по обеспечению деятельности мировых судей по работе с лицевым счетом для учета операций со средствами, поступающими во временное распоряжение (далее - Регламент), разработан в целях реализации положений </w:t>
      </w:r>
      <w:r>
        <w:fldChar w:fldCharType="begin"/>
      </w:r>
      <w:r>
        <w:instrText xml:space="preserve"> HYPERLINK "https://login.consultant.ru/link/?req=doc&amp;base=LAW&amp;n=450444&amp;dst=100467"</w:instrText>
      </w:r>
      <w:r>
        <w:fldChar w:fldCharType="separate"/>
      </w:r>
      <w:r>
        <w:rPr>
          <w:rStyle w:val="Hyperlink"/>
          <w:color w:val="000000"/>
          <w:sz w:val="28"/>
          <w:szCs w:val="28"/>
          <w:u w:val="none"/>
        </w:rPr>
        <w:t xml:space="preserve">статей 96</w:t>
      </w:r>
      <w:r>
        <w:fldChar w:fldCharType="end"/>
      </w:r>
      <w:r>
        <w:rPr>
          <w:color w:val="000000"/>
          <w:sz w:val="28"/>
          <w:szCs w:val="28"/>
          <w:u w:val="none"/>
        </w:rPr>
        <w:t xml:space="preserve">, </w:t>
      </w:r>
      <w:r>
        <w:fldChar w:fldCharType="begin"/>
      </w:r>
      <w:r>
        <w:instrText xml:space="preserve"> HYPERLINK "https://login.consultant.ru/link/?req=doc&amp;base=LAW&amp;n=450444&amp;dst=100472"</w:instrText>
      </w:r>
      <w:r>
        <w:fldChar w:fldCharType="separate"/>
      </w:r>
      <w:r>
        <w:rPr>
          <w:rStyle w:val="Hyperlink"/>
          <w:color w:val="000000"/>
          <w:sz w:val="28"/>
          <w:szCs w:val="28"/>
          <w:u w:val="none"/>
        </w:rPr>
        <w:t xml:space="preserve">97</w:t>
      </w:r>
      <w:r>
        <w:fldChar w:fldCharType="end"/>
      </w:r>
      <w:r>
        <w:rPr>
          <w:color w:val="000000"/>
          <w:sz w:val="28"/>
          <w:szCs w:val="28"/>
          <w:u w:val="none"/>
        </w:rPr>
        <w:t xml:space="preserve">,</w:t>
      </w:r>
      <w:r>
        <w:rPr>
          <w:color w:val="000000"/>
          <w:sz w:val="28"/>
          <w:szCs w:val="28"/>
          <w:u w:val="none"/>
        </w:rPr>
        <w:t xml:space="preserve"> </w:t>
      </w:r>
      <w:r>
        <w:fldChar w:fldCharType="begin"/>
      </w:r>
      <w:r>
        <w:instrText xml:space="preserve"> HYPERLINK "https://login.consultant.ru/link/?req=doc&amp;base=LAW&amp;n=450444&amp;dst=100701"</w:instrText>
      </w:r>
      <w:r>
        <w:fldChar w:fldCharType="separate"/>
      </w:r>
      <w:r>
        <w:rPr>
          <w:rStyle w:val="Hyperlink"/>
          <w:color w:val="000000"/>
          <w:sz w:val="28"/>
          <w:szCs w:val="28"/>
          <w:u w:val="none"/>
        </w:rPr>
        <w:t xml:space="preserve">143</w:t>
      </w:r>
      <w:r>
        <w:fldChar w:fldCharType="end"/>
      </w: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Гражданского процессуального кодекса Российской Федерации, статей 189.93, 201.10, 201.11, 213.4, 213.5 Федерального закона от 26 октября 2002 г. № 127-ФЗ «О несостоятельности (банкротстве)», постановления Правительства Российской Федерации от 1 декабря 2012 г. № 1240 «О порядке и размере возмещения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Федерации».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1.2. Настоящий Регламент определяет порядок:</w:t>
      </w:r>
      <w:r>
        <w:rPr>
          <w:color w:val="000000"/>
          <w:sz w:val="28"/>
          <w:szCs w:val="28"/>
          <w:u w:val="none"/>
        </w:rPr>
      </w:r>
    </w:p>
    <w:p>
      <w:pPr>
        <w:pStyle w:val="UserStyle_22"/>
        <w:numPr>
          <w:ilvl w:val="0"/>
          <w:numId w:val="3"/>
        </w:numPr>
        <w:tabs>
          <w:tab w:val="right" w:leader="none" w:pos="993"/>
        </w:tabs>
        <w:ind w:right="0" w:firstLine="567" w:left="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внесения денежных средств, поступающих во временное распоряжение, на лицевой счет Управления Республики Карелия по обеспечению деятельности мировых судей (далее - Управление);</w:t>
      </w:r>
      <w:r>
        <w:rPr>
          <w:color w:val="000000"/>
          <w:sz w:val="28"/>
          <w:szCs w:val="28"/>
          <w:u w:val="none"/>
        </w:rPr>
      </w:r>
    </w:p>
    <w:p>
      <w:pPr>
        <w:pStyle w:val="UserStyle_22"/>
        <w:numPr>
          <w:ilvl w:val="0"/>
          <w:numId w:val="3"/>
        </w:numPr>
        <w:tabs>
          <w:tab w:val="right" w:leader="none" w:pos="993"/>
        </w:tabs>
        <w:ind w:right="0" w:firstLine="567" w:left="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перечисления, возврат и списания с лицевого счета денежных средств, поступивших во временное распоряжение;</w:t>
      </w:r>
      <w:r>
        <w:rPr>
          <w:color w:val="000000"/>
          <w:sz w:val="28"/>
          <w:szCs w:val="28"/>
          <w:u w:val="none"/>
        </w:rPr>
      </w:r>
    </w:p>
    <w:p>
      <w:pPr>
        <w:pStyle w:val="UserStyle_22"/>
        <w:numPr>
          <w:ilvl w:val="0"/>
          <w:numId w:val="3"/>
        </w:numPr>
        <w:tabs>
          <w:tab w:val="right" w:leader="none" w:pos="993"/>
        </w:tabs>
        <w:ind w:right="0" w:firstLine="567" w:left="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осуществления учета и контроля за внесением, перечислением и списанием денежных средств, поступающих во временное распоряжение;</w:t>
      </w:r>
      <w:r>
        <w:rPr>
          <w:color w:val="000000"/>
          <w:sz w:val="28"/>
          <w:szCs w:val="28"/>
          <w:u w:val="none"/>
        </w:rPr>
      </w:r>
    </w:p>
    <w:p>
      <w:pPr>
        <w:pStyle w:val="UserStyle_22"/>
        <w:numPr>
          <w:ilvl w:val="0"/>
          <w:numId w:val="3"/>
        </w:numPr>
        <w:tabs>
          <w:tab w:val="right" w:leader="none" w:pos="993"/>
        </w:tabs>
        <w:ind w:right="0" w:firstLine="567" w:left="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осуществления бухгалтерского учета по операциям со средствами, поступающими во временное распоряжение.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1.3. Открытие и ведение лицевого счета для учета операций со средствами, поступающими во временное распоряжение Управления, осуществляются в соответствии с </w:t>
      </w:r>
      <w:r>
        <w:fldChar w:fldCharType="begin"/>
      </w:r>
      <w:r>
        <w:instrText xml:space="preserve"> HYPERLINK "https://login.consultant.ru/link/?req=doc&amp;base=LAW&amp;n=293457"</w:instrText>
      </w:r>
      <w:r>
        <w:fldChar w:fldCharType="separate"/>
      </w:r>
      <w:r>
        <w:rPr>
          <w:rStyle w:val="Hyperlink"/>
          <w:color w:val="000000"/>
          <w:sz w:val="28"/>
          <w:szCs w:val="28"/>
          <w:u w:val="none"/>
        </w:rPr>
        <w:t xml:space="preserve">приказом</w:t>
      </w:r>
      <w:r>
        <w:fldChar w:fldCharType="end"/>
      </w:r>
      <w:r>
        <w:rPr>
          <w:color w:val="000000"/>
          <w:sz w:val="28"/>
          <w:szCs w:val="28"/>
          <w:u w:val="none"/>
        </w:rPr>
        <w:t xml:space="preserve"> Федерального казначейства от 17 октября 2016 г. № 21н «О порядке открытия и ведения лицевых счетов территориальными органами Федерального казначейства».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</w:r>
    </w:p>
    <w:p>
      <w:pPr>
        <w:pStyle w:val="Normal"/>
        <w:widowControl w:val="false"/>
        <w:ind w:right="0" w:firstLine="72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  <w:u w:val="none"/>
        </w:rPr>
      </w:pPr>
      <w:r>
        <w:rPr>
          <w:b/>
          <w:color w:val="000000"/>
          <w:sz w:val="28"/>
          <w:szCs w:val="28"/>
          <w:u w:val="none"/>
        </w:rPr>
        <w:t xml:space="preserve">2. Внесение, перечисление, возврат и списание денежных средств, поступающих во временное распоряжение</w:t>
      </w:r>
      <w:r>
        <w:rPr>
          <w:rFonts w:ascii="Times New Roman CYR" w:hAnsi="Times New Roman CYR" w:cs="Times New Roman CYR"/>
          <w:b/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u w:val="none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2.1. На лицевой счет для учета операций с денежными средствами, поступающими во временное распоряжение Управления, вносятся:</w:t>
      </w:r>
      <w:r>
        <w:rPr>
          <w:color w:val="000000"/>
          <w:sz w:val="28"/>
          <w:szCs w:val="28"/>
          <w:u w:val="none"/>
        </w:rPr>
      </w:r>
    </w:p>
    <w:p>
      <w:pPr>
        <w:pStyle w:val="UserStyle_22"/>
        <w:numPr>
          <w:ilvl w:val="0"/>
          <w:numId w:val="1"/>
        </w:numPr>
        <w:tabs>
          <w:tab w:val="right" w:leader="none" w:pos="1134"/>
        </w:tabs>
        <w:ind w:right="0" w:firstLine="567" w:left="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денежные средства для обеспечения возмещения судебных издержек, связанных с рассмотрением мировыми судьями гражданских дел, в том числе подлежащие выплате экспертам (экспертному учреждению) за проведение экспертизы.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2.2. Внесение денежных средств, перечисляемых юридическими лицами, осуществляется по платежным поручениям.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Внесение денежных средств гражданами, осуществляющими предпринимательскую деятельность без образования юридического лица, имеющими статус индивидуального предпринимателя, или гражданами, не имеющими статуса индивидуального предпринимателя (физические лица) и осуществляющими оплату без открытия банковского счета, производится через банк по установленной банком платежной форме документа.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2.3. В платежном документе обязательно указываются: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фамилия, имя, отчество (при наличии) плательщика (наименование юридического лица);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назначение платежа (например, внесение денежных сумм для проведения экспертизы, внесение денежных сумм за Иванова И.И. для проведения экспертизы, и другое);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номер судебного дела / (номер возобновленного дела), наименование судебного участка мирового судьи в производстве которого находится гражданское дело.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В случае внесения плательщиком денежных средств на лицевой счет Управления без указания сведений о номере дела и судебного участка зачисление, учет и отнесение такого платежа к конкретному делу осуществляется на основании письменного заявления плательщика, подаваемого мировому судье, рассматривающему дело.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Письменное заявление плательщика не требуется при наличии в платежном документе информации, позволяющей отнести платеж к конкретному судебному делу.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2.4. Копия платежного документа, по которому производилось внесение средств на лицевой счет Управления, представляется плательщиком мировому судье для приобщения к материалам дела.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Для подтверждения внесения плательщиком денежных средств на лицевой счет Управления, помощник судьи или иной уполномоченный работник аппарата суда представляет в Управление копию поступившего в суд платежного документа и заверенную надлежащим образом копию судебного акта (при наличии), вступившего в законную силу, которые послужили основанием для внесения денежных средств на лицевой счет Управления.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Подтверждением зачисления средств является банковская выписка по лицевому счету Управления с приложенными к ней платежными документами, полученными от Управления Федерального казначейства по Республике Карелия.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На основании банковской выписки по лицевому счету заместитель начальника отдела кадровой, организационно-правовой и финансовой работы Управления или иное уполномоченное лицо делает отметку о зачислении денежных средств на копии платежного документа и возвращает ее помощнику мирового судьи или иному уполномоченному работнику аппарата судебного участка для последующей передачи мировому судье.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Если денежные средства на лицевой счет Управления на текущую дату не поступили, заместитель начальника отдела кадровой, организационно-правовой и финансовой работы Управления или иное уполномоченное лицо письменно информирует помощника мирового судьи или иного уполномоченного работника аппарата судебного участка для последующей передачи информации мировому судье.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2.5. Перечисление денежных средств с лицевого счета для учета операций со средствами, поступающими во временное распоряжение Управления производится только безналичным путем:</w:t>
      </w:r>
      <w:r>
        <w:rPr>
          <w:color w:val="000000"/>
          <w:sz w:val="28"/>
          <w:szCs w:val="28"/>
          <w:u w:val="none"/>
        </w:rPr>
      </w:r>
    </w:p>
    <w:p>
      <w:pPr>
        <w:pStyle w:val="UserStyle_22"/>
        <w:numPr>
          <w:ilvl w:val="0"/>
          <w:numId w:val="2"/>
        </w:numPr>
        <w:tabs>
          <w:tab w:val="right" w:leader="none" w:pos="1134"/>
        </w:tabs>
        <w:ind w:right="0" w:firstLine="567" w:left="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гражданам, осуществляющим предпринимательскую деятельность без образования юридического лица, имеющим статус индивидуального предпринимателя, и юридическим лицам - на расчетный счет;</w:t>
      </w:r>
      <w:r>
        <w:rPr>
          <w:color w:val="000000"/>
          <w:sz w:val="28"/>
          <w:szCs w:val="28"/>
          <w:u w:val="none"/>
        </w:rPr>
      </w:r>
    </w:p>
    <w:p>
      <w:pPr>
        <w:pStyle w:val="UserStyle_22"/>
        <w:numPr>
          <w:ilvl w:val="0"/>
          <w:numId w:val="2"/>
        </w:numPr>
        <w:tabs>
          <w:tab w:val="right" w:leader="none" w:pos="1134"/>
        </w:tabs>
        <w:ind w:right="0" w:firstLine="567" w:left="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физическим лицам – на лицевой счет физического лица, открытый в кредитной организации. 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В случае отсутствия банковских реквизитов перечисление денежных средств не производится.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2.6. Возврат денежных средств, перечисленных в </w:t>
      </w:r>
      <w:r>
        <w:fldChar w:fldCharType="begin"/>
      </w:r>
      <w:r>
        <w:instrText xml:space="preserve"> HYPERLINK  \l "Par9"</w:instrText>
      </w:r>
      <w:r>
        <w:fldChar w:fldCharType="separate"/>
      </w:r>
      <w:r>
        <w:rPr>
          <w:rStyle w:val="Hyperlink"/>
          <w:color w:val="000000"/>
          <w:sz w:val="28"/>
          <w:szCs w:val="28"/>
          <w:u w:val="none"/>
        </w:rPr>
        <w:t xml:space="preserve">пункте 2.1</w:t>
      </w:r>
      <w:r>
        <w:fldChar w:fldCharType="end"/>
      </w:r>
      <w:r>
        <w:rPr>
          <w:color w:val="000000"/>
          <w:sz w:val="28"/>
          <w:szCs w:val="28"/>
          <w:u w:val="none"/>
        </w:rPr>
        <w:t xml:space="preserve">, оформляется в соответствии с </w:t>
      </w:r>
      <w:r>
        <w:fldChar w:fldCharType="begin"/>
      </w:r>
      <w:r>
        <w:instrText xml:space="preserve"> HYPERLINK "https://login.consultant.ru/link/?req=doc&amp;base=LAW&amp;n=417742"</w:instrText>
      </w:r>
      <w:r>
        <w:fldChar w:fldCharType="separate"/>
      </w:r>
      <w:r>
        <w:rPr>
          <w:rStyle w:val="Hyperlink"/>
          <w:color w:val="000000"/>
          <w:sz w:val="28"/>
          <w:szCs w:val="28"/>
          <w:u w:val="none"/>
        </w:rPr>
        <w:t xml:space="preserve">приказом</w:t>
      </w:r>
      <w:r>
        <w:fldChar w:fldCharType="end"/>
      </w: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Федерального казначейства от 14 мая 2020 г. № 21н «О Порядке казначейского обслуживания».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Возврат ошибочно зачисленных средств, в том числе ошибочно зачисленной на лицевой счет государственной пошлины, производится на основании письменного заявления плательщика с указанием реквизитов лицевого счета в течение 30 дней с момента подачи такого заявления.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При осуществлении возврата ошибочно зачисленных денежных средств Управлением в целях надлежащей идентификации платежа могут быть затребованы иные необходимые документы (подтверждающие личность плательщика, факт внесения им денежных средств на лицевой счет Управления и другие).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2.7. Перечисление денежных средств с лицевого счета Управления производится  на основании судебного акта,  в резолютивной части которого указываются  полное наименование и банковские реквизиты получателя, за  исключением случаев ошибочного зачисления средств (</w:t>
      </w:r>
      <w:r>
        <w:fldChar w:fldCharType="begin"/>
      </w:r>
      <w:r>
        <w:instrText xml:space="preserve"> HYPERLINK "https://login.consultant.ru/link/?req=doc&amp;base=EPB&amp;n=834452&amp;dst=100032"</w:instrText>
      </w:r>
      <w:r>
        <w:fldChar w:fldCharType="separate"/>
      </w:r>
      <w:r>
        <w:rPr>
          <w:rStyle w:val="Hyperlink"/>
          <w:color w:val="000000"/>
          <w:sz w:val="28"/>
          <w:szCs w:val="28"/>
          <w:u w:val="none"/>
        </w:rPr>
        <w:t xml:space="preserve">пункт 2.6</w:t>
      </w:r>
      <w:r>
        <w:fldChar w:fldCharType="end"/>
      </w:r>
      <w:r>
        <w:rPr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  <w:u w:val="none"/>
        </w:rPr>
        <w:t xml:space="preserve">настоящего Регламента).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Судебный акт (его копия) о перечислении денежных средств подлежит обязательному заверению подписью мирового судьи и гербовой печатью судебного участка.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Незаверенная надлежащим образом копия судебного акта (его резолютивная часть) Управлением к исполнению не принимается и подлежит немедленному возврату.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2.8. Заверенная надлежащим образом копия судебного акта, либо заверенная надлежащим образом резолютивная часть этого судебного акта и при наличии иные подтверждающие документы передаются помощником мирового судьи или уполномоченным работником аппарата судебного участка в Управление по реестру передачи документов после вынесения судебного акта.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Перечисление указанных в судебном акте денежных средств осуществляется Управлением на текущий лицевой (расчетный) счет получателя не позднее 30 дней со дня получения судебного акта.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2.9. Невостребованные денежные средства, поступившие во временное распоряжение Управления, списываются с лицевого счета по истечении трех лет с момента вступления в законную силу судебного акта, которым дело разрешено по существу, на основании акта о списании, утвержденного начальником Управления и согласованного с мировым судьей соответствующего судебного участка, с последующим их перечислением в доход бюджета Республики Карелия.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К акту о списании прикладывается заверенная надлежащим образом копия судебного акта, которым дело разрешено по существу. Указанные документы хранятся в соответствующем наряде, предусмотренном номенклатурой дел Управления.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2.10. Невостребованные денежные средства, по которым не представляется возможным установить плательщика или лицо, которому следует их перечислить, либо указанные лица не обращались за их перечислением, а также ошибочно зачисленная государственная пошлина списываются с лицевого счета Управления по истечении трех лет с момента их зачисления.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2.11. Перечисление денежных средств при передаче дела в другой суд (по подсудности; для определения суда общей юрисдикции, к подсудности которого дело отнесено законом) осуществляется Управлением на основании судебного акта мирового судьи, содержащего полное наименование и банковские реквизиты  лицевого (депозитного) счета другого суда. 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tabs>
          <w:tab w:val="right" w:leader="none" w:pos="851"/>
          <w:tab w:val="right" w:leader="none" w:pos="993"/>
          <w:tab w:val="right" w:leader="none" w:pos="1276"/>
        </w:tabs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Заверенная надлежащим образом копия судебного акта мирового судьи о передаче дела в другой суд передается помощником судьи или уполномоченным работником аппарата мирового судьи в Управление по реестру передачи документов в день передачи дела в другой суд.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Перечисление указанных в судебном акте мирового судьи денежных средств осуществляется Управлением на лицевой (депозитный) счет соответствующего суда в течении 3 рабочих дней со дня получения судебного акта. 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2.12. Копии реестров передачи документов с копиями судебных актов (резолютивными частями судебных актов) о перечислении денежных средств и иными подтверждающими документами хранятся в соответствующем наряде Управления, оригиналы реестров - в делах судебного участка.</w:t>
      </w:r>
      <w:r>
        <w:rPr>
          <w:rFonts w:ascii="Times New Roman" w:hAnsi="Times New Roman" w:cs="Times New Roman"/>
          <w:color w:val="000000"/>
          <w:sz w:val="28"/>
          <w:szCs w:val="28"/>
          <w:u w:val="none"/>
        </w:rPr>
      </w:r>
    </w:p>
    <w:p>
      <w:pPr>
        <w:pStyle w:val="UserStyle_23"/>
        <w:numPr>
          <w:ilvl w:val="0"/>
          <w:numId w:val="0"/>
        </w:numPr>
        <w:ind w:right="0" w:firstLine="0" w:left="0"/>
        <w:jc w:val="center"/>
        <w:outlineLvl w:val="1"/>
        <w:rPr>
          <w:color w:val="000000"/>
          <w:u w:val="none"/>
        </w:rPr>
      </w:pPr>
      <w:bookmarkStart w:id="0" w:name="Par4"/>
      <w:bookmarkEnd w:id="0"/>
      <w:bookmarkStart w:id="1" w:name="Par16"/>
      <w:bookmarkEnd w:id="1"/>
      <w:bookmarkStart w:id="2" w:name="Par18"/>
      <w:bookmarkEnd w:id="2"/>
      <w:r>
        <w:rPr>
          <w:rFonts w:ascii="Times New Roman" w:hAnsi="Times New Roman" w:cs="Times New Roman"/>
          <w:color w:val="000000"/>
          <w:sz w:val="28"/>
          <w:szCs w:val="28"/>
          <w:u w:val="none"/>
        </w:rPr>
        <w:t xml:space="preserve">3. Учет и контроль за внесением, перечислением и списанием денежных средств, поступающих во временное распоряжение</w:t>
      </w:r>
      <w:r>
        <w:rPr>
          <w:color w:val="000000"/>
          <w:u w:val="none"/>
        </w:rPr>
      </w:r>
    </w:p>
    <w:p>
      <w:pPr>
        <w:pStyle w:val="Normal"/>
        <w:ind w:right="0" w:firstLine="540"/>
        <w:jc w:val="both"/>
        <w:rPr>
          <w:color w:val="000000"/>
          <w:u w:val="none"/>
        </w:rPr>
      </w:pPr>
      <w:r>
        <w:rPr>
          <w:color w:val="000000"/>
          <w:u w:val="none"/>
        </w:rPr>
      </w:r>
    </w:p>
    <w:p>
      <w:pPr>
        <w:pStyle w:val="Normal"/>
        <w:ind w:right="0" w:firstLine="540"/>
        <w:jc w:val="both"/>
        <w:rPr>
          <w:color w:val="000000"/>
          <w:sz w:val="28"/>
          <w:szCs w:val="28"/>
          <w:u w:val="none"/>
        </w:rPr>
      </w:pPr>
      <w:r>
        <w:fldChar w:fldCharType="begin"/>
      </w:r>
      <w:r>
        <w:instrText xml:space="preserve"> HYPERLINK "https://login.consultant.ru/link/?req=doc&amp;base=EPB&amp;n=724208&amp;dst=100008"</w:instrText>
      </w:r>
      <w:r>
        <w:fldChar w:fldCharType="separate"/>
      </w:r>
      <w:r>
        <w:rPr>
          <w:rStyle w:val="Hyperlink"/>
          <w:color w:val="000000"/>
          <w:sz w:val="28"/>
          <w:szCs w:val="28"/>
          <w:u w:val="none"/>
        </w:rPr>
        <w:t xml:space="preserve">3</w:t>
      </w:r>
      <w:r>
        <w:fldChar w:fldCharType="end"/>
      </w:r>
      <w:r>
        <w:rPr>
          <w:color w:val="000000"/>
          <w:sz w:val="28"/>
          <w:szCs w:val="28"/>
          <w:u w:val="none"/>
        </w:rPr>
        <w:t xml:space="preserve">.1. Учет и контроль за внесением, перечислением и списанием денежных средств, поступающих во временное распоряжение на лицевой счет Управления осуществляется заместителем начальника отдела кадровой, организационно-правовой и финансовой работы.</w:t>
      </w:r>
      <w:r>
        <w:rPr>
          <w:color w:val="000000"/>
          <w:sz w:val="28"/>
          <w:szCs w:val="28"/>
          <w:u w:val="none"/>
        </w:rPr>
      </w:r>
    </w:p>
    <w:p>
      <w:pPr>
        <w:pStyle w:val="Normal"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 xml:space="preserve">3.2. Санкционирование операций со средствами, поступающими во временное распоряжение, осуществляется Управлением Федерального казначейства по Республике Карелия в соответствии со ст.220.2 Бюджетного кодекса Российской Федерации. </w:t>
      </w:r>
      <w:r>
        <w:rPr>
          <w:rFonts w:ascii="Times New Roman" w:hAnsi="Times New Roman" w:cs="Times New Roman"/>
          <w:color w:val="000000"/>
          <w:sz w:val="28"/>
          <w:szCs w:val="28"/>
          <w:u w:val="none"/>
        </w:rPr>
      </w:r>
    </w:p>
    <w:p>
      <w:pPr>
        <w:pStyle w:val="UserStyle_23"/>
        <w:numPr>
          <w:ilvl w:val="0"/>
          <w:numId w:val="0"/>
        </w:numPr>
        <w:ind w:right="0" w:firstLine="0" w:left="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  <w:u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none"/>
        </w:rPr>
      </w:r>
    </w:p>
    <w:p>
      <w:pPr>
        <w:pStyle w:val="UserStyle_23"/>
        <w:numPr>
          <w:ilvl w:val="0"/>
          <w:numId w:val="0"/>
        </w:numPr>
        <w:ind w:right="0" w:firstLine="0" w:left="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  <w:u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none"/>
        </w:rPr>
        <w:t xml:space="preserve">4. Бухгалтерский учет по операциям со средствами,</w:t>
      </w:r>
      <w:r>
        <w:rPr>
          <w:rFonts w:ascii="Times New Roman" w:hAnsi="Times New Roman" w:cs="Times New Roman"/>
          <w:color w:val="000000"/>
          <w:sz w:val="28"/>
          <w:szCs w:val="28"/>
          <w:u w:val="none"/>
        </w:rPr>
      </w:r>
    </w:p>
    <w:p>
      <w:pPr>
        <w:pStyle w:val="UserStyle_23"/>
        <w:jc w:val="center"/>
        <w:rPr>
          <w:rFonts w:ascii="Times New Roman" w:hAnsi="Times New Roman" w:cs="Times New Roman"/>
          <w:color w:val="000000"/>
          <w:sz w:val="28"/>
          <w:szCs w:val="28"/>
          <w:u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none"/>
        </w:rPr>
        <w:t xml:space="preserve">поступающими во временное распоряжение</w:t>
      </w:r>
      <w:r>
        <w:rPr>
          <w:rFonts w:ascii="Times New Roman" w:hAnsi="Times New Roman" w:cs="Times New Roman"/>
          <w:color w:val="000000"/>
          <w:sz w:val="28"/>
          <w:szCs w:val="28"/>
          <w:u w:val="none"/>
        </w:rPr>
      </w:r>
    </w:p>
    <w:p>
      <w:pPr>
        <w:pStyle w:val="UserStyle_20"/>
        <w:jc w:val="center"/>
        <w:rPr>
          <w:rFonts w:ascii="Times New Roman" w:hAnsi="Times New Roman" w:cs="Times New Roman"/>
          <w:color w:val="000000"/>
          <w:sz w:val="28"/>
          <w:szCs w:val="28"/>
          <w:u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none"/>
        </w:rPr>
      </w:r>
    </w:p>
    <w:p>
      <w:pPr>
        <w:pStyle w:val="BodyText"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none"/>
        </w:rPr>
      </w:pPr>
      <w:r>
        <w:rPr>
          <w:color w:val="000000"/>
          <w:szCs w:val="28"/>
          <w:u w:val="none"/>
        </w:rPr>
        <w:t xml:space="preserve">4.1. Бухгалтерский учет по операциям со средствами, поступающими во временное распоряжение Управления, ведется в соответствии с приказами Министерства финансов Российской Федерации от 1 декабря 2010 г. </w:t>
      </w:r>
      <w:r>
        <w:fldChar w:fldCharType="begin"/>
      </w:r>
      <w:r>
        <w:instrText xml:space="preserve"> HYPERLINK "https://login.consultant.ru/link/?req=doc&amp;base=LAW&amp;n=297341"</w:instrText>
      </w:r>
      <w:r>
        <w:fldChar w:fldCharType="separate"/>
      </w:r>
      <w:r>
        <w:rPr>
          <w:rStyle w:val="Hyperlink"/>
          <w:color w:val="000000"/>
          <w:szCs w:val="28"/>
          <w:u w:val="none"/>
        </w:rPr>
        <w:t xml:space="preserve">№ 157н</w:t>
      </w:r>
      <w:r>
        <w:fldChar w:fldCharType="end"/>
      </w:r>
      <w:r>
        <w:rPr>
          <w:color w:val="000000"/>
          <w:szCs w:val="28"/>
          <w:u w:val="none"/>
        </w:rPr>
        <w:t xml:space="preserve">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от 6 декабря 2010 г. </w:t>
      </w:r>
      <w:r>
        <w:fldChar w:fldCharType="begin"/>
      </w:r>
      <w:r>
        <w:instrText xml:space="preserve"> HYPERLINK "https://login.consultant.ru/link/?req=doc&amp;base=LAW&amp;n=297461"</w:instrText>
      </w:r>
      <w:r>
        <w:fldChar w:fldCharType="separate"/>
      </w:r>
      <w:r>
        <w:rPr>
          <w:rStyle w:val="Hyperlink"/>
          <w:color w:val="000000"/>
          <w:szCs w:val="28"/>
          <w:u w:val="none"/>
        </w:rPr>
        <w:t xml:space="preserve">№ 162н</w:t>
      </w:r>
      <w:r>
        <w:fldChar w:fldCharType="end"/>
      </w:r>
      <w:r>
        <w:rPr>
          <w:color w:val="000000"/>
          <w:szCs w:val="28"/>
          <w:u w:val="none"/>
        </w:rPr>
        <w:t xml:space="preserve"> «Об утверждении плана счетов бюджетного учета и инструкции по его применению» Государственным казенным учреждением Республики Карелия «Центр бухгалтерского и аналитического сопровождения» (далее – ГКУ РК «ЦБиАС») в соответствии с договором о передаче ведения бухгалтерского (бюджетного) учета и составлению отчетности от 29 декабря 2017 года.</w:t>
      </w:r>
      <w:r>
        <w:rPr>
          <w:rFonts w:ascii="Times New Roman" w:hAnsi="Times New Roman" w:cs="Times New Roman"/>
          <w:color w:val="000000"/>
          <w:sz w:val="28"/>
          <w:szCs w:val="28"/>
          <w:u w:val="none"/>
        </w:rPr>
      </w:r>
    </w:p>
    <w:p>
      <w:pPr>
        <w:pStyle w:val="UserStyle_20"/>
        <w:ind w:right="0" w:firstLine="540"/>
        <w:jc w:val="both"/>
        <w:rPr>
          <w:color w:val="000000"/>
          <w:szCs w:val="28"/>
          <w:u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none"/>
        </w:rPr>
        <w:t xml:space="preserve">4.2. Управлением ежегодно проводится инвентаризация денежных средств, поступающих во временное распоряжение. Инвентаризация проводится в соответствии с федеральным </w:t>
      </w:r>
      <w:r>
        <w:fldChar w:fldCharType="begin"/>
      </w:r>
      <w:r>
        <w:instrText xml:space="preserve"> HYPERLINK "https://login.consultant.ru/link/?req=doc&amp;base=LAW&amp;n=460116&amp;dst=100011"</w:instrText>
      </w:r>
      <w:r>
        <w:fldChar w:fldCharType="separate"/>
      </w:r>
      <w:r>
        <w:rPr>
          <w:rStyle w:val="Hyperlink"/>
          <w:rFonts w:ascii="Times New Roman" w:hAnsi="Times New Roman" w:cs="Times New Roman"/>
          <w:color w:val="000000"/>
          <w:sz w:val="28"/>
          <w:szCs w:val="28"/>
          <w:u w:val="none"/>
        </w:rPr>
        <w:t xml:space="preserve">стандартом</w:t>
      </w:r>
      <w: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u w:val="none"/>
        </w:rPr>
        <w:t xml:space="preserve">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утвержденным приказом Министерства финансов Российской Федерации от 31 декабря 2016 г. № 256н, и Методическими </w:t>
      </w:r>
      <w:r>
        <w:fldChar w:fldCharType="begin"/>
      </w:r>
      <w:r>
        <w:instrText xml:space="preserve"> HYPERLINK "https://login.consultant.ru/link/?req=doc&amp;base=LAW&amp;n=107970&amp;dst=100010"</w:instrText>
      </w:r>
      <w:r>
        <w:fldChar w:fldCharType="separate"/>
      </w:r>
      <w:r>
        <w:rPr>
          <w:rStyle w:val="Hyperlink"/>
          <w:rFonts w:ascii="Times New Roman" w:hAnsi="Times New Roman" w:cs="Times New Roman"/>
          <w:color w:val="000000"/>
          <w:sz w:val="28"/>
          <w:szCs w:val="28"/>
          <w:u w:val="none"/>
        </w:rPr>
        <w:t xml:space="preserve">указаниями</w:t>
      </w:r>
      <w: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  <w:u w:val="none"/>
        </w:rPr>
        <w:t xml:space="preserve"> по инвентаризации имущества и финансовых обязательств, утвержденными приказом Министерства финансов Российской Федерации от 13 июня 1995 г. № 49.</w:t>
      </w:r>
      <w:r>
        <w:rPr>
          <w:color w:val="000000"/>
          <w:szCs w:val="28"/>
          <w:u w:val="none"/>
        </w:rPr>
      </w:r>
    </w:p>
    <w:p>
      <w:pPr>
        <w:pStyle w:val="BodyText"/>
        <w:ind w:right="0" w:firstLine="709"/>
        <w:jc w:val="both"/>
        <w:rPr>
          <w:color w:val="000000"/>
          <w:szCs w:val="28"/>
          <w:u w:val="none"/>
        </w:rPr>
      </w:pPr>
      <w:r>
        <w:rPr>
          <w:color w:val="000000"/>
          <w:szCs w:val="28"/>
          <w:u w:val="none"/>
        </w:rPr>
        <w:t xml:space="preserve">4.3. Отчетность об остатках денежных средств на лицевых счетах для учета операций со средствами, поступающими во временное распоряжение, представляется ГКУ РК «ЦБиАС» в Министерство финансов Республики Карелия по формам отчетности, установленным </w:t>
      </w:r>
      <w:r>
        <w:fldChar w:fldCharType="begin"/>
      </w:r>
      <w:r>
        <w:instrText xml:space="preserve"> HYPERLINK "https://login.consultant.ru/link/?req=doc&amp;base=LAW&amp;n=326778"</w:instrText>
      </w:r>
      <w:r>
        <w:fldChar w:fldCharType="separate"/>
      </w:r>
      <w:r>
        <w:rPr>
          <w:rStyle w:val="Hyperlink"/>
          <w:color w:val="000000"/>
          <w:szCs w:val="28"/>
          <w:u w:val="none"/>
        </w:rPr>
        <w:t xml:space="preserve">приказом</w:t>
      </w:r>
      <w:r>
        <w:fldChar w:fldCharType="end"/>
      </w:r>
      <w:r>
        <w:rPr>
          <w:color w:val="000000"/>
          <w:szCs w:val="28"/>
          <w:u w:val="none"/>
        </w:rPr>
        <w:t xml:space="preserve"> Министерства финансов Российской Федерации от 28 декабря 2010 г.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сроки, установленные для представления квартальной и годовой отчетности, в соответствии с договором о передаче ведения бухгалтерского (бюджетного) учета и составлению отчетности от 29.12.2017.</w:t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h="16838" w:w="11906"/>
      <w:pgMar w:top="1134" w:right="851" w:bottom="735" w:left="1701"/>
      <w:pgNumType w:fmt="none"/>
      <w:bidi w:val="false"/>
      <w:docGrid w:type="default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5040102010807070707"/>
  </w:font>
  <w:font w:name="Liberation Serif">
    <w:panose1 w:val="02020603050405020304"/>
  </w:font>
  <w:font w:name="Calibri">
    <w:panose1 w:val="020F0502020204030204"/>
  </w:font>
  <w:font w:name="FreeSans">
    <w:panose1 w:val="020B0504020202020204"/>
  </w:font>
  <w:font w:name="Arial">
    <w:panose1 w:val="020B0604020202020204"/>
  </w:font>
  <w:font w:name="PT Astra Serif">
    <w:panose1 w:val="020A0603040505020204"/>
  </w:font>
  <w:font w:name="Noto Sans CJK SC">
    <w:panose1 w:val="020B0500000000000000"/>
  </w:font>
  <w:font w:name="Tahoma">
    <w:panose1 w:val="020B060403050404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singleLevel"/>
    <w:nsid w:val="00000001"/>
    <w:lvl w:ilvl="0">
      <w:lvlJc w:val="left"/>
      <w:lvlText w:val=""/>
      <w:numFmt w:val="bullet"/>
      <w:pPr>
        <w:tabs>
          <w:tab w:val="num" w:leader="none" w:pos="0"/>
        </w:tabs>
        <w:ind w:hanging="360" w:left="1260"/>
      </w:pPr>
      <w:rPr>
        <w:rFonts w:ascii="Symbol" w:hAnsi="Symbol" w:cs="Symbol"/>
      </w:rPr>
      <w:start w:val="1"/>
      <w:suff w:val="tab"/>
    </w:lvl>
  </w:abstractNum>
  <w:abstractNum w:abstractNumId="1">
    <w:multiLevelType w:val="singleLevel"/>
    <w:nsid w:val="00000002"/>
    <w:lvl w:ilvl="0">
      <w:lvlJc w:val="left"/>
      <w:lvlText w:val=""/>
      <w:numFmt w:val="bullet"/>
      <w:pPr>
        <w:tabs>
          <w:tab w:val="num" w:leader="none" w:pos="0"/>
        </w:tabs>
        <w:ind w:hanging="360" w:left="1260"/>
      </w:pPr>
      <w:rPr>
        <w:rFonts w:ascii="Symbol" w:hAnsi="Symbol" w:cs="Symbol"/>
      </w:rPr>
      <w:start w:val="1"/>
      <w:suff w:val="tab"/>
    </w:lvl>
  </w:abstractNum>
  <w:abstractNum w:abstractNumId="2">
    <w:multiLevelType w:val="singleLevel"/>
    <w:nsid w:val="00000003"/>
    <w:lvl w:ilvl="0">
      <w:lvlJc w:val="left"/>
      <w:lvlText w:val=""/>
      <w:numFmt w:val="bullet"/>
      <w:pPr>
        <w:tabs>
          <w:tab w:val="num" w:leader="none" w:pos="0"/>
        </w:tabs>
        <w:ind w:hanging="360" w:left="786"/>
      </w:pPr>
      <w:rPr>
        <w:rFonts w:ascii="Symbol" w:hAnsi="Symbol" w:cs="Symbol"/>
      </w:rPr>
      <w:start w:val="1"/>
      <w:suff w:val="tab"/>
    </w:lvl>
  </w:abstractNum>
  <w:abstractNum w:abstractNumId="3">
    <w:multiLevelType w:val="multilevel"/>
    <w:nsid w:val="00000004"/>
    <w:lvl w:ilvl="0">
      <w:lvlJc w:val="left"/>
      <w:lvlText w:val=""/>
      <w:numFmt w:val="decimal"/>
      <w:pPr>
        <w:tabs>
          <w:tab w:val="num" w:leader="none" w:pos="0"/>
        </w:tabs>
        <w:ind w:firstLine="0" w:left="0"/>
      </w:pPr>
      <w:start w:val="1"/>
      <w:suff w:val="nothing"/>
    </w:lvl>
    <w:lvl w:ilvl="1">
      <w:lvlJc w:val="left"/>
      <w:lvlText w:val=""/>
      <w:numFmt w:val="decimal"/>
      <w:pPr>
        <w:tabs>
          <w:tab w:val="num" w:leader="none" w:pos="0"/>
        </w:tabs>
        <w:ind w:firstLine="0" w:left="0"/>
      </w:pPr>
      <w:start w:val="1"/>
      <w:suff w:val="nothing"/>
    </w:lvl>
    <w:lvl w:ilvl="2">
      <w:lvlJc w:val="left"/>
      <w:lvlText w:val=""/>
      <w:numFmt w:val="decimal"/>
      <w:pPr>
        <w:tabs>
          <w:tab w:val="num" w:leader="none" w:pos="0"/>
        </w:tabs>
        <w:ind w:firstLine="0" w:left="0"/>
      </w:pPr>
      <w:start w:val="1"/>
      <w:suff w:val="nothing"/>
    </w:lvl>
    <w:lvl w:ilvl="3">
      <w:lvlJc w:val="left"/>
      <w:lvlText w:val=""/>
      <w:numFmt w:val="decimal"/>
      <w:pPr>
        <w:tabs>
          <w:tab w:val="num" w:leader="none" w:pos="0"/>
        </w:tabs>
        <w:ind w:firstLine="0" w:left="0"/>
      </w:pPr>
      <w:start w:val="1"/>
      <w:suff w:val="nothing"/>
    </w:lvl>
    <w:lvl w:ilvl="4">
      <w:lvlJc w:val="left"/>
      <w:lvlText w:val=""/>
      <w:numFmt w:val="decimal"/>
      <w:pPr>
        <w:tabs>
          <w:tab w:val="num" w:leader="none" w:pos="0"/>
        </w:tabs>
        <w:ind w:firstLine="0" w:left="0"/>
      </w:pPr>
      <w:start w:val="1"/>
      <w:suff w:val="nothing"/>
    </w:lvl>
    <w:lvl w:ilvl="5">
      <w:lvlJc w:val="left"/>
      <w:lvlText w:val=""/>
      <w:numFmt w:val="decimal"/>
      <w:pPr>
        <w:tabs>
          <w:tab w:val="num" w:leader="none" w:pos="0"/>
        </w:tabs>
        <w:ind w:firstLine="0" w:left="0"/>
      </w:pPr>
      <w:start w:val="1"/>
      <w:suff w:val="nothing"/>
    </w:lvl>
    <w:lvl w:ilvl="6">
      <w:lvlJc w:val="left"/>
      <w:lvlText w:val=""/>
      <w:numFmt w:val="decimal"/>
      <w:pPr>
        <w:tabs>
          <w:tab w:val="num" w:leader="none" w:pos="0"/>
        </w:tabs>
        <w:ind w:firstLine="0" w:left="0"/>
      </w:pPr>
      <w:start w:val="1"/>
      <w:suff w:val="nothing"/>
    </w:lvl>
    <w:lvl w:ilvl="7">
      <w:lvlJc w:val="left"/>
      <w:lvlText w:val=""/>
      <w:numFmt w:val="decimal"/>
      <w:pPr>
        <w:tabs>
          <w:tab w:val="num" w:leader="none" w:pos="0"/>
        </w:tabs>
        <w:ind w:firstLine="0" w:left="0"/>
      </w:pPr>
      <w:start w:val="1"/>
      <w:suff w:val="nothing"/>
    </w:lvl>
    <w:lvl w:ilvl="8">
      <w:lvlJc w:val="left"/>
      <w:lvlText w:val=""/>
      <w:numFmt w:val="decimal"/>
      <w:pPr>
        <w:tabs>
          <w:tab w:val="num" w:leader="none" w:pos="0"/>
        </w:tabs>
        <w:ind w:firstLine="0" w:left="0"/>
      </w:pPr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isplayHorizontalDrawingGridEvery w:val="0"/>
  <w:displayVerticalDrawingGridEvery w:val="0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TableNormal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Normal">
    <w:name w:val="Normal"/>
    <w:aliases w:val="Normal"/>
    <w:next w:val="Normal"/>
    <w:link w:val="Normal"/>
    <w:pPr>
      <w:widowControl w:val="true"/>
      <w:bidi w:val="false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UserStyle_0">
    <w:name w:val="WW8Num1z0"/>
    <w:next w:val="UserStyle_0"/>
    <w:link w:val="Normal"/>
    <w:rPr>
      <w:rFonts w:ascii="Symbol" w:hAnsi="Symbol" w:cs="Symbol"/>
    </w:rPr>
  </w:style>
  <w:style w:type="character" w:styleId="UserStyle_1">
    <w:name w:val="WW8Num2z0"/>
    <w:next w:val="UserStyle_1"/>
    <w:link w:val="Normal"/>
    <w:rPr>
      <w:rFonts w:ascii="Symbol" w:hAnsi="Symbol" w:cs="Symbol"/>
    </w:rPr>
  </w:style>
  <w:style w:type="character" w:styleId="UserStyle_2">
    <w:name w:val="WW8Num3z0"/>
    <w:next w:val="UserStyle_2"/>
    <w:link w:val="Normal"/>
    <w:rPr>
      <w:rFonts w:ascii="Symbol" w:hAnsi="Symbol" w:cs="Symbol"/>
    </w:rPr>
  </w:style>
  <w:style w:type="character" w:styleId="UserStyle_3">
    <w:name w:val="WW8Num1z1"/>
    <w:next w:val="UserStyle_3"/>
    <w:link w:val="Normal"/>
    <w:rPr>
      <w:rFonts w:ascii="Courier New" w:hAnsi="Courier New" w:cs="Courier New"/>
    </w:rPr>
  </w:style>
  <w:style w:type="character" w:styleId="UserStyle_4">
    <w:name w:val="WW8Num1z2"/>
    <w:next w:val="UserStyle_4"/>
    <w:link w:val="Normal"/>
    <w:rPr>
      <w:rFonts w:ascii="Wingdings" w:hAnsi="Wingdings" w:cs="Wingdings"/>
    </w:rPr>
  </w:style>
  <w:style w:type="character" w:styleId="UserStyle_5">
    <w:name w:val="WW8Num3z1"/>
    <w:next w:val="UserStyle_5"/>
    <w:link w:val="Normal"/>
    <w:rPr>
      <w:rFonts w:ascii="Courier New" w:hAnsi="Courier New" w:cs="Courier New"/>
    </w:rPr>
  </w:style>
  <w:style w:type="character" w:styleId="UserStyle_6">
    <w:name w:val="WW8Num3z2"/>
    <w:next w:val="UserStyle_6"/>
    <w:link w:val="Normal"/>
    <w:rPr>
      <w:rFonts w:ascii="Wingdings" w:hAnsi="Wingdings" w:cs="Wingdings"/>
    </w:rPr>
  </w:style>
  <w:style w:type="character" w:styleId="UserStyle_7">
    <w:name w:val="WW8Num5z0"/>
    <w:next w:val="UserStyle_7"/>
    <w:link w:val="Normal"/>
    <w:rPr>
      <w:sz w:val="28"/>
      <w:szCs w:val="28"/>
    </w:rPr>
  </w:style>
  <w:style w:type="character" w:styleId="UserStyle_8">
    <w:name w:val="WW8Num6z0"/>
    <w:next w:val="UserStyle_8"/>
    <w:link w:val="Normal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-1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UserStyle_9">
    <w:name w:val="WW8Num7z0"/>
    <w:next w:val="UserStyle_9"/>
    <w:rPr>
      <w:rFonts w:ascii="Symbol" w:hAnsi="Symbol" w:cs="Symbol"/>
    </w:rPr>
  </w:style>
  <w:style w:type="character" w:styleId="UserStyle_10">
    <w:name w:val="WW8Num7z1"/>
    <w:next w:val="UserStyle_10"/>
    <w:link w:val="Normal"/>
    <w:rPr>
      <w:rFonts w:ascii="Courier New" w:hAnsi="Courier New" w:cs="Courier New"/>
    </w:rPr>
  </w:style>
  <w:style w:type="character" w:styleId="UserStyle_11">
    <w:name w:val="WW8Num7z2"/>
    <w:next w:val="UserStyle_11"/>
    <w:link w:val="Normal"/>
    <w:rPr>
      <w:rFonts w:ascii="Wingdings" w:hAnsi="Wingdings" w:cs="Wingdings"/>
    </w:rPr>
  </w:style>
  <w:style w:type="character" w:styleId="UserStyle_12">
    <w:name w:val="Основной шрифт абзаца"/>
    <w:next w:val="UserStyle_12"/>
    <w:link w:val="Normal"/>
  </w:style>
  <w:style w:type="character" w:styleId="UserStyle_13">
    <w:name w:val="Текст выноски Знак"/>
    <w:basedOn w:val="UserStyle_12"/>
    <w:next w:val="UserStyle_13"/>
    <w:link w:val="Normal"/>
    <w:rPr>
      <w:rFonts w:ascii="Tahoma" w:hAnsi="Tahoma" w:cs="Tahoma"/>
      <w:sz w:val="16"/>
      <w:szCs w:val="16"/>
    </w:rPr>
  </w:style>
  <w:style w:type="character" w:styleId="UserStyle_14">
    <w:name w:val="Основной текст Знак"/>
    <w:basedOn w:val="UserStyle_12"/>
    <w:next w:val="UserStyle_14"/>
    <w:rPr>
      <w:sz w:val="28"/>
      <w:szCs w:val="24"/>
    </w:rPr>
  </w:style>
  <w:style w:type="character" w:styleId="Hyperlink">
    <w:name w:val="Hyperlink"/>
    <w:next w:val="Hyperlink"/>
    <w:link w:val="Normal"/>
    <w:rPr>
      <w:color w:val="000080"/>
      <w:u w:val="single"/>
    </w:rPr>
  </w:style>
  <w:style w:type="character" w:styleId="FollowedHyperlink">
    <w:name w:val="FollowedHyperlink"/>
    <w:next w:val="FollowedHyperlink"/>
    <w:link w:val="Normal"/>
    <w:rPr>
      <w:color w:val="800000"/>
      <w:u w:val="single"/>
    </w:rPr>
  </w:style>
  <w:style w:type="paragraph" w:styleId="UserStyle_15">
    <w:name w:val="Заголовок"/>
    <w:basedOn w:val="Normal"/>
    <w:next w:val="BodyText"/>
    <w:link w:val="Normal"/>
    <w:pPr>
      <w:keepNext w:val="true"/>
      <w:spacing w:after="120" w:before="24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next w:val="BodyText"/>
    <w:rPr>
      <w:sz w:val="28"/>
    </w:rPr>
  </w:style>
  <w:style w:type="paragraph" w:styleId="List">
    <w:name w:val="List"/>
    <w:basedOn w:val="BodyText"/>
    <w:next w:val="List"/>
    <w:link w:val="Normal"/>
    <w:rPr>
      <w:rFonts w:ascii="PT Astra Serif" w:hAnsi="PT Astra Serif" w:cs="FreeSans"/>
    </w:rPr>
  </w:style>
  <w:style w:type="paragraph" w:styleId="Caption">
    <w:name w:val="caption"/>
    <w:basedOn w:val="Normal"/>
    <w:next w:val="Caption"/>
    <w:link w:val="Normal"/>
    <w:pPr>
      <w:suppressLineNumbers w:val="true"/>
      <w:spacing w:after="120" w:before="120"/>
    </w:pPr>
    <w:rPr>
      <w:rFonts w:ascii="PT Astra Serif" w:hAnsi="PT Astra Serif" w:cs="FreeSans"/>
      <w:i/>
      <w:iCs/>
      <w:sz w:val="24"/>
      <w:szCs w:val="24"/>
    </w:rPr>
  </w:style>
  <w:style w:type="paragraph" w:styleId="UserStyle_16">
    <w:name w:val="Указатель"/>
    <w:basedOn w:val="Normal"/>
    <w:next w:val="UserStyle_16"/>
    <w:pPr>
      <w:suppressLineNumbers w:val="true"/>
    </w:pPr>
    <w:rPr>
      <w:rFonts w:ascii="PT Astra Serif" w:hAnsi="PT Astra Serif" w:cs="FreeSans"/>
    </w:rPr>
  </w:style>
  <w:style w:type="paragraph" w:styleId="UserStyle_17">
    <w:name w:val="caption1"/>
    <w:basedOn w:val="Normal"/>
    <w:next w:val="UserStyle_17"/>
    <w:link w:val="Normal"/>
    <w:pPr>
      <w:suppressLineNumbers w:val="true"/>
      <w:spacing w:after="120" w:before="120"/>
    </w:pPr>
    <w:rPr>
      <w:rFonts w:ascii="PT Astra Serif" w:hAnsi="PT Astra Serif" w:cs="FreeSans"/>
      <w:i/>
      <w:iCs/>
      <w:sz w:val="24"/>
      <w:szCs w:val="24"/>
    </w:rPr>
  </w:style>
  <w:style w:type="paragraph" w:styleId="UserStyle_18">
    <w:name w:val="caption11"/>
    <w:basedOn w:val="Normal"/>
    <w:next w:val="UserStyle_18"/>
    <w:pPr>
      <w:suppressLineNumbers w:val="true"/>
      <w:spacing w:after="120" w:before="120"/>
    </w:pPr>
    <w:rPr>
      <w:rFonts w:ascii="PT Astra Serif" w:hAnsi="PT Astra Serif" w:cs="FreeSans"/>
      <w:i/>
      <w:iCs/>
      <w:sz w:val="24"/>
      <w:szCs w:val="24"/>
    </w:rPr>
  </w:style>
  <w:style w:type="paragraph" w:styleId="UserStyle_19">
    <w:name w:val="caption111"/>
    <w:basedOn w:val="Normal"/>
    <w:next w:val="UserStyle_19"/>
    <w:pPr>
      <w:suppressLineNumbers w:val="true"/>
      <w:spacing w:after="120" w:before="120"/>
    </w:pPr>
    <w:rPr>
      <w:rFonts w:ascii="PT Astra Serif" w:hAnsi="PT Astra Serif" w:cs="FreeSans"/>
      <w:i/>
      <w:iCs/>
      <w:sz w:val="24"/>
      <w:szCs w:val="24"/>
    </w:rPr>
  </w:style>
  <w:style w:type="paragraph" w:styleId="UserStyle_20">
    <w:name w:val="ConsPlusNormal"/>
    <w:next w:val="UserStyle_20"/>
    <w:pPr>
      <w:widowControl w:val="true"/>
      <w:bidi w:val="false"/>
      <w:ind w:right="0" w:firstLine="720" w:left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UserStyle_21">
    <w:name w:val="Текст выноски"/>
    <w:basedOn w:val="Normal"/>
    <w:next w:val="UserStyle_21"/>
    <w:rPr>
      <w:rFonts w:ascii="Tahoma" w:hAnsi="Tahoma" w:cs="Tahoma"/>
      <w:sz w:val="16"/>
      <w:szCs w:val="16"/>
    </w:rPr>
  </w:style>
  <w:style w:type="paragraph" w:styleId="UserStyle_22">
    <w:name w:val="Абзац списка"/>
    <w:basedOn w:val="Normal"/>
    <w:next w:val="UserStyle_22"/>
    <w:pPr>
      <w:spacing w:after="0" w:before="0"/>
      <w:ind w:right="0" w:firstLine="0" w:left="720"/>
      <w:contextualSpacing w:val="true"/>
    </w:pPr>
  </w:style>
  <w:style w:type="paragraph" w:styleId="UserStyle_23">
    <w:name w:val="ConsPlusTitle"/>
    <w:next w:val="UserStyle_23"/>
    <w:pPr>
      <w:widowControl w:val="false"/>
      <w:bidi w:val="false"/>
    </w:pPr>
    <w:rPr>
      <w:rFonts w:ascii="Calibri" w:hAnsi="Calibri" w:eastAsia="Times New Roman" w:cs="Calibri"/>
      <w:b/>
      <w:color w:val="auto"/>
      <w:sz w:val="22"/>
      <w:szCs w:val="22"/>
      <w:lang w:val="ru-RU" w:eastAsia="zh-CN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Дорохов</dc:creator>
  <cp:revision>10</cp:revision>
  <dcterms:created xsi:type="dcterms:W3CDTF">2024-08-12T08:14:00Z</dcterms:created>
  <dcterms:modified xsi:type="dcterms:W3CDTF">2026-10-27T14:44:00Z</dcterms:modified>
</cp:coreProperties>
</file>