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6"/>
        <w:jc w:val="center"/>
        <w:rPr>
          <w:b/>
        </w:rPr>
      </w:pPr>
      <w:r>
        <w:rPr>
          <w:b/>
        </w:rPr>
        <w:t xml:space="preserve">СВЕДЕНИЯ</w:t>
      </w:r>
      <w:r>
        <w:rPr>
          <w:b/>
        </w:rPr>
      </w:r>
    </w:p>
    <w:p>
      <w:pPr>
        <w:pStyle w:val="616"/>
        <w:jc w:val="center"/>
        <w:rPr>
          <w:b/>
        </w:rPr>
      </w:pPr>
      <w:r>
        <w:rPr>
          <w:b/>
        </w:rPr>
        <w:t xml:space="preserve">о р</w:t>
      </w:r>
      <w:r>
        <w:rPr>
          <w:b/>
        </w:rPr>
        <w:t xml:space="preserve">езультатах деятельности комиссии</w:t>
      </w:r>
      <w:r>
        <w:rPr>
          <w:b/>
        </w:rPr>
        <w:t xml:space="preserve"> по соблюдению требований к служебному поведению государственных гражданских служащих </w:t>
      </w:r>
      <w:r>
        <w:rPr>
          <w:b/>
        </w:rPr>
        <w:t xml:space="preserve">                                  </w:t>
      </w:r>
      <w:r>
        <w:rPr>
          <w:b/>
        </w:rPr>
        <w:t xml:space="preserve">и урегулированию конфликта интересов в</w:t>
      </w:r>
      <w:r>
        <w:rPr>
          <w:b/>
        </w:rPr>
        <w:t xml:space="preserve"> </w:t>
      </w:r>
      <w:r>
        <w:rPr>
          <w:b/>
        </w:rPr>
        <w:t xml:space="preserve">Агентстве по организационному обеспечению деятельности мировых судей Архангельской области </w:t>
      </w:r>
      <w:r>
        <w:rPr>
          <w:b/>
        </w:rPr>
        <w:t xml:space="preserve"> за </w:t>
      </w:r>
      <w:r>
        <w:rPr>
          <w:b/>
        </w:rPr>
        <w:t xml:space="preserve"> </w:t>
      </w:r>
      <w:r>
        <w:rPr>
          <w:b/>
        </w:rPr>
        <w:t xml:space="preserve">20</w:t>
      </w:r>
      <w:r>
        <w:rPr>
          <w:b/>
        </w:rPr>
        <w:t xml:space="preserve">2</w:t>
      </w:r>
      <w:r>
        <w:rPr>
          <w:b/>
        </w:rPr>
        <w:t xml:space="preserve">5</w:t>
      </w:r>
      <w:r>
        <w:rPr>
          <w:b/>
        </w:rPr>
        <w:t xml:space="preserve"> год</w:t>
      </w:r>
      <w:r>
        <w:rPr>
          <w:b/>
        </w:rPr>
      </w:r>
      <w:r>
        <w:rPr>
          <w:b/>
        </w:rPr>
      </w:r>
    </w:p>
    <w:p>
      <w:pPr>
        <w:pStyle w:val="616"/>
        <w:rPr>
          <w:sz w:val="12"/>
          <w:szCs w:val="12"/>
        </w:rPr>
      </w:pPr>
      <w:r>
        <w:rPr>
          <w:sz w:val="12"/>
          <w:szCs w:val="12"/>
        </w:rPr>
      </w:r>
      <w:r>
        <w:rPr>
          <w:sz w:val="12"/>
          <w:szCs w:val="12"/>
        </w:rPr>
      </w:r>
    </w:p>
    <w:tbl>
      <w:tblPr>
        <w:tblpPr w:horzAnchor="margin" w:tblpXSpec="center" w:vertAnchor="text" w:tblpY="8" w:leftFromText="180" w:topFromText="0" w:rightFromText="180" w:bottomFromText="0"/>
        <w:tblW w:w="1612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675"/>
        <w:gridCol w:w="709"/>
        <w:gridCol w:w="709"/>
        <w:gridCol w:w="567"/>
        <w:gridCol w:w="567"/>
        <w:gridCol w:w="567"/>
        <w:gridCol w:w="709"/>
        <w:gridCol w:w="1134"/>
        <w:gridCol w:w="567"/>
        <w:gridCol w:w="567"/>
        <w:gridCol w:w="425"/>
        <w:gridCol w:w="425"/>
        <w:gridCol w:w="567"/>
        <w:gridCol w:w="709"/>
        <w:gridCol w:w="425"/>
        <w:gridCol w:w="709"/>
        <w:gridCol w:w="2551"/>
        <w:gridCol w:w="851"/>
        <w:gridCol w:w="850"/>
        <w:gridCol w:w="1134"/>
        <w:gridCol w:w="709"/>
      </w:tblGrid>
      <w:tr>
        <w:trPr>
          <w:cantSplit/>
          <w:trHeight w:val="2120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btLr"/>
            <w:vAlign w:val="top"/>
          </w:tcPr>
          <w:p>
            <w:pPr>
              <w:pStyle w:val="616"/>
              <w:framePr w:hSpace="180" w:wrap="around" w:vAnchor="text" w:hAnchor="margin" w:xAlign="center" w:y="8"/>
              <w:ind w:left="113" w:right="113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Дата проведение заседания комиссии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tcW w:w="552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Количество рассмотренных комиссиями материалов (обращений), касающихся:</w:t>
            </w:r>
            <w:r>
              <w:rPr>
                <w:sz w:val="16"/>
                <w:szCs w:val="16"/>
              </w:rPr>
            </w:r>
          </w:p>
        </w:tc>
        <w:tc>
          <w:tcPr>
            <w:tcW w:w="382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Количество установленных комиссиями нарушений, касающихся:</w:t>
            </w:r>
            <w:r>
              <w:rPr>
                <w:sz w:val="16"/>
                <w:szCs w:val="16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btLr"/>
            <w:vAlign w:val="top"/>
          </w:tcPr>
          <w:p>
            <w:pPr>
              <w:pStyle w:val="616"/>
              <w:framePr w:hSpace="180" w:wrap="around" w:vAnchor="text" w:hAnchor="margin" w:xAlign="center" w:y="8"/>
              <w:ind w:left="-96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Иное решение </w:t>
            </w:r>
            <w:r>
              <w:rPr>
                <w:sz w:val="14"/>
                <w:szCs w:val="14"/>
              </w:rPr>
            </w:r>
          </w:p>
          <w:p>
            <w:pPr>
              <w:pStyle w:val="616"/>
              <w:framePr w:hSpace="180" w:wrap="around" w:vAnchor="text" w:hAnchor="margin" w:xAlign="center" w:y="8"/>
              <w:ind w:left="-96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(краткое содержание)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btLr"/>
            <w:vAlign w:val="top"/>
          </w:tcPr>
          <w:p>
            <w:pPr>
              <w:pStyle w:val="616"/>
              <w:framePr w:hSpace="180" w:wrap="around" w:vAnchor="text" w:hAnchor="margin" w:xAlign="center" w:y="8"/>
              <w:ind w:left="-96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Количество отказов в замещении должности либо в выполнении </w:t>
            </w:r>
            <w:r>
              <w:rPr>
                <w:sz w:val="14"/>
                <w:szCs w:val="14"/>
              </w:rPr>
            </w:r>
          </w:p>
          <w:p>
            <w:pPr>
              <w:pStyle w:val="616"/>
              <w:framePr w:hSpace="180" w:wrap="around" w:vAnchor="text" w:hAnchor="margin" w:xAlign="center" w:y="8"/>
              <w:ind w:left="-96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работы на условиях </w:t>
            </w:r>
            <w:r>
              <w:rPr>
                <w:sz w:val="14"/>
                <w:szCs w:val="14"/>
              </w:rPr>
            </w:r>
          </w:p>
          <w:p>
            <w:pPr>
              <w:pStyle w:val="616"/>
              <w:framePr w:hSpace="180" w:wrap="around" w:vAnchor="text" w:hAnchor="margin" w:xAlign="center" w:y="8"/>
              <w:ind w:left="-96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гражданско-правового договора </w:t>
            </w:r>
            <w:r>
              <w:rPr>
                <w:sz w:val="14"/>
                <w:szCs w:val="14"/>
              </w:rPr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btLr"/>
            <w:vAlign w:val="top"/>
          </w:tcPr>
          <w:p>
            <w:pPr>
              <w:pStyle w:val="616"/>
              <w:framePr w:hSpace="180" w:wrap="around" w:vAnchor="text" w:hAnchor="margin" w:xAlign="center" w:y="8"/>
              <w:ind w:left="-96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Количество согласий в замещении должности либо в выполнении </w:t>
            </w:r>
            <w:r>
              <w:rPr>
                <w:sz w:val="14"/>
                <w:szCs w:val="14"/>
              </w:rPr>
            </w:r>
          </w:p>
          <w:p>
            <w:pPr>
              <w:pStyle w:val="616"/>
              <w:framePr w:hSpace="180" w:wrap="around" w:vAnchor="text" w:hAnchor="margin" w:xAlign="center" w:y="8"/>
              <w:ind w:left="-96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работы на условиях гражданско-правового договора</w:t>
            </w:r>
            <w:r>
              <w:rPr>
                <w:sz w:val="14"/>
                <w:szCs w:val="14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btLr"/>
            <w:vAlign w:val="top"/>
          </w:tcPr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Количество служащих, рекомендованных к привлечению/привлеченных к дисциплинарной ответственности по результатам заседаний </w:t>
            </w:r>
            <w:r>
              <w:rPr>
                <w:sz w:val="14"/>
                <w:szCs w:val="14"/>
              </w:rPr>
            </w:r>
          </w:p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комиссий</w:t>
            </w:r>
            <w:r>
              <w:rPr>
                <w:sz w:val="14"/>
                <w:szCs w:val="14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btLr"/>
            <w:vAlign w:val="top"/>
          </w:tcPr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Количество материалов, направленных комиссиями в правоохранительные органы</w:t>
            </w:r>
            <w:r>
              <w:rPr>
                <w:sz w:val="14"/>
                <w:szCs w:val="14"/>
              </w:rPr>
            </w:r>
          </w:p>
        </w:tc>
      </w:tr>
      <w:tr>
        <w:trPr>
          <w:cantSplit/>
          <w:trHeight w:val="6498"/>
        </w:trP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center"/>
          </w:tcPr>
          <w:p>
            <w:pPr>
              <w:pStyle w:val="616"/>
              <w:framePr w:hSpace="180" w:wrap="around" w:vAnchor="text" w:hAnchor="margin" w:xAlign="center" w:y="8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btLr"/>
            <w:vAlign w:val="top"/>
          </w:tcPr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представления служащими недостоверных или неполных сведений о доходах, об имуществе и </w:t>
            </w:r>
            <w:r>
              <w:rPr>
                <w:sz w:val="14"/>
                <w:szCs w:val="14"/>
              </w:rPr>
            </w:r>
          </w:p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обязательствах имущественного характера</w:t>
            </w:r>
            <w:r>
              <w:rPr>
                <w:sz w:val="14"/>
                <w:szCs w:val="14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btLr"/>
            <w:vAlign w:val="top"/>
          </w:tcPr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несоблюдения служащими требований к служебному поведению и (или) требований об</w:t>
            </w:r>
            <w:r>
              <w:rPr>
                <w:sz w:val="14"/>
                <w:szCs w:val="14"/>
              </w:rPr>
            </w:r>
          </w:p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урегулировании конфликта интересов</w:t>
            </w:r>
            <w:r>
              <w:rPr>
                <w:sz w:val="14"/>
                <w:szCs w:val="14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btLr"/>
            <w:vAlign w:val="top"/>
          </w:tcPr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дачи согласия на замещение должности в коммерческой или некоммерческой организации либо</w:t>
            </w:r>
            <w:r>
              <w:rPr>
                <w:sz w:val="14"/>
                <w:szCs w:val="14"/>
              </w:rPr>
            </w:r>
          </w:p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на выполнение работы на условиях гражданско-правового договора</w:t>
            </w:r>
            <w:r>
              <w:rPr>
                <w:sz w:val="14"/>
                <w:szCs w:val="14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btLr"/>
            <w:vAlign w:val="top"/>
          </w:tcPr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невозможности по объективным причинам представить сведения о доходах супруги (супруга) и несовершеннолетних детей</w:t>
            </w:r>
            <w:r>
              <w:rPr>
                <w:sz w:val="14"/>
                <w:szCs w:val="14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btLr"/>
            <w:vAlign w:val="top"/>
          </w:tcPr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невозможности выполнить требования Федерального </w:t>
            </w:r>
            <w:r>
              <w:fldChar w:fldCharType="begin"/>
            </w:r>
            <w:r>
              <w:instrText xml:space="preserve"> HYPERLINK "consultantplus://offline/ref=2C02DA79BC3CD35AAAA964440E0A7B617DDC95775F4957367CA3CC51B0IAaEH" </w:instrText>
            </w:r>
            <w:r>
              <w:fldChar w:fldCharType="separate"/>
            </w:r>
            <w:r>
              <w:rPr>
                <w:rStyle w:val="621"/>
                <w:color w:val="000000"/>
                <w:sz w:val="14"/>
                <w:szCs w:val="14"/>
                <w:u w:val="none"/>
              </w:rPr>
              <w:t xml:space="preserve">закона</w:t>
            </w:r>
            <w:r>
              <w:rPr>
                <w:rStyle w:val="621"/>
                <w:color w:val="000000"/>
                <w:sz w:val="14"/>
                <w:szCs w:val="14"/>
                <w:u w:val="none"/>
              </w:rPr>
              <w:fldChar w:fldCharType="end"/>
            </w:r>
            <w:r>
              <w:rPr>
                <w:sz w:val="14"/>
                <w:szCs w:val="14"/>
              </w:rPr>
              <w:t xml:space="preserve"> от 7 мая 2013 года </w:t>
            </w:r>
            <w:r>
              <w:rPr>
                <w:sz w:val="14"/>
                <w:szCs w:val="14"/>
              </w:rPr>
            </w:r>
          </w:p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N 79-ФЗ "О запрете отдельным категориям лиц открывать и иметь счета …"</w:t>
            </w:r>
            <w:r>
              <w:rPr>
                <w:sz w:val="14"/>
                <w:szCs w:val="14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btLr"/>
            <w:vAlign w:val="top"/>
          </w:tcPr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 xml:space="preserve">представление лицом, принявшим решение об осуществлении контроля за расходами, </w:t>
            </w:r>
            <w:r>
              <w:rPr>
                <w:bCs/>
                <w:sz w:val="14"/>
                <w:szCs w:val="14"/>
              </w:rPr>
            </w:r>
          </w:p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 xml:space="preserve">материалов проверки, свидетельствующих о представлении гражданским служащим</w:t>
            </w:r>
            <w:r>
              <w:rPr>
                <w:bCs/>
                <w:sz w:val="14"/>
                <w:szCs w:val="14"/>
              </w:rPr>
            </w:r>
          </w:p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 xml:space="preserve"> недостоверных или неполных сведений</w: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btLr"/>
            <w:vAlign w:val="top"/>
          </w:tcPr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поступления уведомления организации о заключении с гражданином, замещавшим должность</w:t>
            </w:r>
            <w:r>
              <w:rPr>
                <w:sz w:val="14"/>
                <w:szCs w:val="14"/>
              </w:rPr>
            </w:r>
          </w:p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гражданской службы, трудового или гражданско-правового договора), если отдельные функции государственного</w:t>
            </w:r>
            <w:r>
              <w:rPr>
                <w:sz w:val="14"/>
                <w:szCs w:val="14"/>
              </w:rPr>
            </w:r>
          </w:p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управления данной организацией входили в его должностные обязанности, при условии, что указанному гражданину комиссией ранее было отказано комиссией или что вопрос о даче </w:t>
            </w:r>
            <w:r>
              <w:rPr>
                <w:sz w:val="14"/>
                <w:szCs w:val="14"/>
              </w:rPr>
            </w:r>
          </w:p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согласия такому гражданину не рассматривался </w:t>
            </w:r>
            <w:r>
              <w:rPr>
                <w:sz w:val="14"/>
                <w:szCs w:val="14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btLr"/>
            <w:vAlign w:val="top"/>
          </w:tcPr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обеспечения соблюдения служащими требований к служебному поведению и (или) требований об урегулировании конфликта интересов либо осуществления мер по предупреждению коррупции</w:t>
            </w:r>
            <w:r>
              <w:rPr>
                <w:sz w:val="14"/>
                <w:szCs w:val="14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btLr"/>
            <w:vAlign w:val="top"/>
          </w:tcPr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соблюдения требований о достоверности и полноте сведений о доходах, об имуществе и обязательствах имущественного характера</w:t>
            </w:r>
            <w:r>
              <w:rPr>
                <w:sz w:val="14"/>
                <w:szCs w:val="14"/>
              </w:rPr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btLr"/>
            <w:vAlign w:val="top"/>
          </w:tcPr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соблюдения требований к служебному поведению</w:t>
            </w:r>
            <w:r>
              <w:rPr>
                <w:sz w:val="14"/>
                <w:szCs w:val="14"/>
              </w:rPr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btLr"/>
            <w:vAlign w:val="top"/>
          </w:tcPr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соблюдения требований об урегулировании конфликта интересов</w:t>
            </w:r>
            <w:r>
              <w:rPr>
                <w:sz w:val="14"/>
                <w:szCs w:val="14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btLr"/>
            <w:vAlign w:val="top"/>
          </w:tcPr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</w:pPr>
            <w:r>
              <w:rPr>
                <w:sz w:val="14"/>
                <w:szCs w:val="14"/>
              </w:rPr>
              <w:t xml:space="preserve">соблюдения требований об объективности и уважительности причин непредставления сведений </w:t>
            </w:r>
          </w:p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 доходах супруги (супруга) и несовершеннолетних детей служащего</w:t>
            </w:r>
            <w:r>
              <w:rPr>
                <w:sz w:val="14"/>
                <w:szCs w:val="14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btLr"/>
            <w:vAlign w:val="top"/>
          </w:tcPr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соблюдения требований об объективности и уважительности причин не выполнения требования </w:t>
            </w:r>
            <w:r>
              <w:rPr>
                <w:sz w:val="14"/>
                <w:szCs w:val="14"/>
              </w:rPr>
            </w:r>
          </w:p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Федерального </w:t>
            </w:r>
            <w:r>
              <w:fldChar w:fldCharType="begin"/>
            </w:r>
            <w:r>
              <w:instrText xml:space="preserve"> HYPERLINK "consultantplus://offline/ref=2C02DA79BC3CD35AAAA964440E0A7B617DDC95775F4957367CA3CC51B0IAaEH" </w:instrText>
            </w:r>
            <w:r>
              <w:fldChar w:fldCharType="separate"/>
            </w:r>
            <w:r>
              <w:rPr>
                <w:rStyle w:val="621"/>
                <w:color w:val="000000"/>
                <w:sz w:val="14"/>
                <w:szCs w:val="14"/>
                <w:u w:val="none"/>
              </w:rPr>
              <w:t xml:space="preserve">закона</w:t>
            </w:r>
            <w:r>
              <w:rPr>
                <w:rStyle w:val="621"/>
                <w:color w:val="000000"/>
                <w:sz w:val="14"/>
                <w:szCs w:val="14"/>
                <w:u w:val="none"/>
              </w:rPr>
              <w:fldChar w:fldCharType="end"/>
            </w:r>
            <w:r>
              <w:rPr>
                <w:sz w:val="14"/>
                <w:szCs w:val="14"/>
              </w:rPr>
              <w:t xml:space="preserve"> от 7 мая 2013 года N 79-ФЗ "О запрете </w:t>
            </w:r>
            <w:r>
              <w:rPr>
                <w:sz w:val="14"/>
                <w:szCs w:val="14"/>
              </w:rPr>
            </w:r>
          </w:p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отдельным категориям лиц открывать и иметь счета …"</w:t>
            </w:r>
            <w:r>
              <w:rPr>
                <w:sz w:val="14"/>
                <w:szCs w:val="14"/>
              </w:rPr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btLr"/>
            <w:vAlign w:val="top"/>
          </w:tcPr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соблюдения требований о достоверности и полноте сведений о расходах</w:t>
            </w:r>
            <w:r>
              <w:rPr>
                <w:sz w:val="14"/>
                <w:szCs w:val="14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btLr"/>
            <w:vAlign w:val="top"/>
          </w:tcPr>
          <w:p>
            <w:pPr>
              <w:pStyle w:val="620"/>
              <w:framePr w:hSpace="180" w:wrap="around" w:vAnchor="text" w:hAnchor="margin" w:xAlign="center" w:y="8"/>
              <w:ind w:firstLine="54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замещения на условиях трудового договора должности в коммерческой или </w:t>
            </w:r>
            <w:r>
              <w:rPr>
                <w:color w:val="000000"/>
              </w:rPr>
            </w:r>
          </w:p>
          <w:p>
            <w:pPr>
              <w:pStyle w:val="620"/>
              <w:framePr w:hSpace="180" w:wrap="around" w:vAnchor="text" w:hAnchor="margin" w:xAlign="center" w:y="8"/>
              <w:ind w:firstLine="54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некоммерческой организации и (или) выполнения в коммерческой или некоммерческой </w:t>
            </w:r>
            <w:r>
              <w:rPr>
                <w:color w:val="000000"/>
              </w:rPr>
            </w:r>
          </w:p>
          <w:p>
            <w:pPr>
              <w:pStyle w:val="620"/>
              <w:framePr w:hSpace="180" w:wrap="around" w:vAnchor="text" w:hAnchor="margin" w:xAlign="center" w:y="8"/>
              <w:ind w:firstLine="54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организации работ (оказание услуг) </w:t>
            </w:r>
            <w:r>
              <w:rPr>
                <w:color w:val="000000"/>
              </w:rPr>
            </w:r>
          </w:p>
          <w:p>
            <w:pPr>
              <w:pStyle w:val="616"/>
              <w:framePr w:hSpace="180" w:wrap="around" w:vAnchor="text" w:hAnchor="margin" w:xAlign="center" w:y="8"/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</w:t>
            </w:r>
            <w:r>
              <w:rPr>
                <w:sz w:val="20"/>
                <w:szCs w:val="20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</w:t>
            </w:r>
            <w:r>
              <w:rPr>
                <w:sz w:val="20"/>
                <w:szCs w:val="20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</w:t>
            </w:r>
            <w:r>
              <w:rPr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</w:t>
            </w:r>
            <w:r>
              <w:rPr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</w:t>
            </w:r>
            <w:r>
              <w:rPr>
                <w:sz w:val="20"/>
                <w:szCs w:val="20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</w:t>
            </w:r>
            <w:r>
              <w:rPr>
                <w:sz w:val="20"/>
                <w:szCs w:val="20"/>
              </w:rPr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</w:t>
            </w:r>
            <w:r>
              <w:rPr>
                <w:sz w:val="20"/>
                <w:szCs w:val="20"/>
              </w:rPr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</w:t>
            </w:r>
            <w:r>
              <w:rPr>
                <w:sz w:val="20"/>
                <w:szCs w:val="20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</w:t>
            </w:r>
            <w:r>
              <w:rPr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</w:t>
            </w:r>
            <w:r>
              <w:rPr>
                <w:sz w:val="20"/>
                <w:szCs w:val="20"/>
              </w:rPr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</w:t>
            </w:r>
            <w:r>
              <w:rPr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</w:t>
            </w:r>
            <w:r>
              <w:rPr>
                <w:sz w:val="20"/>
                <w:szCs w:val="20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  <w:t xml:space="preserve">8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  <w:t xml:space="preserve">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17.01.2025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tabs>
                <w:tab w:val="left" w:pos="402" w:leader="none"/>
              </w:tabs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1. </w:t>
            </w:r>
            <w:r>
              <w:rPr>
                <w:bCs/>
                <w:sz w:val="20"/>
                <w:szCs w:val="20"/>
              </w:rPr>
              <w:t xml:space="preserve">При осуществлении иной оплачиваемой деятельности конфликт интересов отсутствует</w:t>
            </w:r>
            <w:r>
              <w:rPr>
                <w:bCs/>
                <w:sz w:val="20"/>
                <w:szCs w:val="20"/>
              </w:rPr>
              <w:t xml:space="preserve">.</w:t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616"/>
              <w:framePr w:hSpace="180" w:wrap="around" w:vAnchor="text" w:hAnchor="margin" w:xAlign="center" w:y="8"/>
              <w:tabs>
                <w:tab w:val="left" w:pos="402" w:leader="none"/>
              </w:tabs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2.</w:t>
            </w:r>
            <w:r>
              <w:rPr>
                <w:sz w:val="20"/>
                <w:szCs w:val="20"/>
              </w:rPr>
              <w:t xml:space="preserve">Рассмотрен</w:t>
            </w:r>
            <w:r>
              <w:rPr>
                <w:sz w:val="20"/>
                <w:szCs w:val="20"/>
              </w:rPr>
              <w:t xml:space="preserve">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результат</w:t>
            </w:r>
            <w:r>
              <w:rPr>
                <w:sz w:val="20"/>
                <w:szCs w:val="20"/>
              </w:rPr>
              <w:t xml:space="preserve">ы</w:t>
            </w:r>
            <w:r>
              <w:rPr>
                <w:sz w:val="20"/>
                <w:szCs w:val="20"/>
              </w:rPr>
              <w:t xml:space="preserve"> проведенного внутреннего анализа поступивших сведений о доходах, расходах, об имуществе и обязательствах имущественного характера гражданского служащего</w:t>
            </w:r>
            <w:r>
              <w:rPr>
                <w:sz w:val="20"/>
                <w:szCs w:val="20"/>
              </w:rPr>
              <w:t xml:space="preserve">, а также его супруги (супруга) </w:t>
            </w:r>
            <w:r>
              <w:rPr>
                <w:sz w:val="20"/>
                <w:szCs w:val="20"/>
              </w:rPr>
              <w:t xml:space="preserve">и несовершеннолетних детей</w:t>
            </w:r>
            <w:r>
              <w:rPr>
                <w:sz w:val="20"/>
                <w:szCs w:val="20"/>
              </w:rPr>
              <w:t xml:space="preserve"> (за период 2021-2023).</w:t>
            </w:r>
            <w:r>
              <w:rPr>
                <w:sz w:val="20"/>
                <w:szCs w:val="20"/>
              </w:rPr>
            </w:r>
          </w:p>
          <w:p>
            <w:pPr>
              <w:pStyle w:val="616"/>
              <w:framePr w:hSpace="180" w:wrap="around" w:vAnchor="text" w:hAnchor="margin" w:xAlign="center" w:y="8"/>
              <w:tabs>
                <w:tab w:val="left" w:pos="402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В отношении  6 гражданских служащих, представивших недостоверные и неполные сведения о доходах,  принято решение расценивать совершенный проступок как несущественный.</w:t>
            </w:r>
            <w:r>
              <w:rPr>
                <w:sz w:val="20"/>
                <w:szCs w:val="20"/>
              </w:rPr>
            </w:r>
          </w:p>
          <w:p>
            <w:pPr>
              <w:pStyle w:val="616"/>
              <w:framePr w:hSpace="180" w:wrap="around" w:vAnchor="text" w:hAnchor="margin" w:xAlign="center" w:y="8"/>
              <w:tabs>
                <w:tab w:val="left" w:pos="402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  <w:t xml:space="preserve">. В отношении </w:t>
            </w: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  <w:t xml:space="preserve"> гражданск</w:t>
            </w:r>
            <w:r>
              <w:rPr>
                <w:sz w:val="20"/>
                <w:szCs w:val="20"/>
              </w:rPr>
              <w:t xml:space="preserve">их</w:t>
            </w:r>
            <w:r>
              <w:rPr>
                <w:sz w:val="20"/>
                <w:szCs w:val="20"/>
              </w:rPr>
              <w:t xml:space="preserve"> служащ</w:t>
            </w:r>
            <w:r>
              <w:rPr>
                <w:sz w:val="20"/>
                <w:szCs w:val="20"/>
              </w:rPr>
              <w:t xml:space="preserve">их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</w:r>
          </w:p>
          <w:p>
            <w:pPr>
              <w:pStyle w:val="616"/>
              <w:framePr w:hSpace="180" w:wrap="around" w:vAnchor="text" w:hAnchor="margin" w:xAlign="center" w:y="8"/>
              <w:tabs>
                <w:tab w:val="left" w:pos="402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рекомендовано </w:t>
            </w:r>
            <w:r>
              <w:rPr>
                <w:sz w:val="20"/>
                <w:szCs w:val="20"/>
              </w:rPr>
              <w:t xml:space="preserve">провести проверку в порядке, утвержденном указом Губернатора Архангельской области </w:t>
            </w:r>
            <w:r>
              <w:rPr>
                <w:sz w:val="20"/>
                <w:szCs w:val="20"/>
              </w:rPr>
            </w:r>
          </w:p>
          <w:p>
            <w:pPr>
              <w:pStyle w:val="616"/>
              <w:framePr w:hSpace="180" w:wrap="around" w:vAnchor="text" w:hAnchor="margin" w:xAlign="center" w:y="8"/>
              <w:tabs>
                <w:tab w:val="left" w:pos="402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15.02.2010 № 9-у «О проверке достоверности </w:t>
            </w:r>
            <w:r>
              <w:rPr>
                <w:sz w:val="20"/>
                <w:szCs w:val="20"/>
              </w:rPr>
            </w:r>
          </w:p>
          <w:p>
            <w:pPr>
              <w:pStyle w:val="616"/>
              <w:framePr w:hSpace="180" w:wrap="around" w:vAnchor="text" w:hAnchor="margin" w:xAlign="center" w:y="8"/>
              <w:tabs>
                <w:tab w:val="left" w:pos="402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 полноты сведений …..».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rPr/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23.05</w:t>
            </w:r>
            <w:r>
              <w:rPr>
                <w:sz w:val="16"/>
                <w:szCs w:val="16"/>
              </w:rPr>
              <w:t xml:space="preserve">.2025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tabs>
                <w:tab w:val="left" w:pos="402" w:leader="none"/>
              </w:tabs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1. </w:t>
            </w:r>
            <w:r>
              <w:rPr>
                <w:bCs/>
                <w:sz w:val="20"/>
                <w:szCs w:val="20"/>
              </w:rPr>
              <w:t xml:space="preserve">При осуществлении иной оплачиваемой деятельности конфликт интересов отсутствует</w:t>
            </w:r>
            <w:r>
              <w:rPr>
                <w:bCs/>
                <w:sz w:val="20"/>
                <w:szCs w:val="20"/>
              </w:rPr>
              <w:t xml:space="preserve">.</w: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616"/>
              <w:tabs>
                <w:tab w:val="left" w:pos="402" w:leader="none"/>
              </w:tabs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2.</w:t>
            </w:r>
            <w:r>
              <w:rPr>
                <w:sz w:val="20"/>
                <w:szCs w:val="20"/>
              </w:rPr>
              <w:t xml:space="preserve">Рассмотрен</w:t>
            </w:r>
            <w:r>
              <w:rPr>
                <w:sz w:val="20"/>
                <w:szCs w:val="20"/>
              </w:rPr>
              <w:t xml:space="preserve">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2 доклада о </w:t>
            </w:r>
            <w:r>
              <w:rPr>
                <w:sz w:val="20"/>
                <w:szCs w:val="20"/>
              </w:rPr>
              <w:t xml:space="preserve">результат</w:t>
            </w:r>
            <w:r>
              <w:rPr>
                <w:sz w:val="20"/>
                <w:szCs w:val="20"/>
              </w:rPr>
              <w:t xml:space="preserve">ах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проверки достоверности и полноты</w:t>
            </w:r>
            <w:r>
              <w:rPr>
                <w:sz w:val="20"/>
                <w:szCs w:val="20"/>
              </w:rPr>
              <w:t xml:space="preserve"> сведений о доходах, расходах, об имуществе и обязательствах имущественного характера</w:t>
            </w:r>
            <w:r>
              <w:rPr>
                <w:sz w:val="20"/>
                <w:szCs w:val="20"/>
              </w:rPr>
              <w:t xml:space="preserve"> за отчетные 2021-2023,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представленных </w:t>
            </w:r>
            <w:r>
              <w:rPr>
                <w:sz w:val="20"/>
                <w:szCs w:val="20"/>
              </w:rPr>
              <w:t xml:space="preserve">гражданск</w:t>
            </w:r>
            <w:r>
              <w:rPr>
                <w:sz w:val="20"/>
                <w:szCs w:val="20"/>
              </w:rPr>
              <w:t xml:space="preserve">ими </w:t>
            </w:r>
            <w:r>
              <w:rPr>
                <w:sz w:val="20"/>
                <w:szCs w:val="20"/>
              </w:rPr>
              <w:t xml:space="preserve">служащ</w:t>
            </w:r>
            <w:r>
              <w:rPr>
                <w:sz w:val="20"/>
                <w:szCs w:val="20"/>
              </w:rPr>
              <w:t xml:space="preserve">ими судебных участков Архангельской области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</w:p>
          <w:p>
            <w:pPr>
              <w:pStyle w:val="616"/>
              <w:tabs>
                <w:tab w:val="left" w:pos="402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В отношении   гражданских служащих, представивших недостоверные и неполные сведения о доходах,  принято решение расценив</w:t>
            </w:r>
            <w:r>
              <w:rPr>
                <w:sz w:val="20"/>
                <w:szCs w:val="20"/>
              </w:rPr>
              <w:t xml:space="preserve">ать совершенный проступок как </w:t>
            </w:r>
            <w:r>
              <w:rPr>
                <w:sz w:val="20"/>
                <w:szCs w:val="20"/>
              </w:rPr>
              <w:t xml:space="preserve">существенный</w:t>
            </w:r>
            <w:r>
              <w:rPr>
                <w:sz w:val="20"/>
                <w:szCs w:val="20"/>
              </w:rPr>
              <w:t xml:space="preserve">; рекомендованы к привлечению к дисциплинарной ответственности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</w:p>
          <w:p>
            <w:pPr>
              <w:pStyle w:val="616"/>
              <w:tabs>
                <w:tab w:val="left" w:pos="402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  <w:t xml:space="preserve">. В отношении </w:t>
            </w: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  <w:t xml:space="preserve"> гражданск</w:t>
            </w:r>
            <w:r>
              <w:rPr>
                <w:sz w:val="20"/>
                <w:szCs w:val="20"/>
              </w:rPr>
              <w:t xml:space="preserve">ого</w:t>
            </w:r>
            <w:r>
              <w:rPr>
                <w:sz w:val="20"/>
                <w:szCs w:val="20"/>
              </w:rPr>
              <w:t xml:space="preserve"> служащ</w:t>
            </w:r>
            <w:r>
              <w:rPr>
                <w:sz w:val="20"/>
                <w:szCs w:val="20"/>
              </w:rPr>
              <w:t xml:space="preserve">его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</w:r>
          </w:p>
          <w:p>
            <w:pPr>
              <w:pStyle w:val="616"/>
              <w:tabs>
                <w:tab w:val="left" w:pos="402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рекомендовано </w:t>
            </w:r>
            <w:r>
              <w:rPr>
                <w:sz w:val="20"/>
                <w:szCs w:val="20"/>
              </w:rPr>
              <w:t xml:space="preserve">провести проверку</w:t>
            </w:r>
            <w:r>
              <w:rPr>
                <w:sz w:val="20"/>
                <w:szCs w:val="20"/>
              </w:rPr>
              <w:t xml:space="preserve"> соблюдения ограничений и </w:t>
            </w:r>
            <w:r>
              <w:rPr>
                <w:sz w:val="20"/>
                <w:szCs w:val="20"/>
              </w:rPr>
              <w:t xml:space="preserve">запретов, требований о предотвращении или урегулировании конфликта интересов, исполнения обязанностей, установленных законом от 25.12.2008 № 273-ФЗ «О противодействии коррупции» и другими федеральными законами,</w:t>
            </w:r>
            <w:r>
              <w:rPr>
                <w:sz w:val="20"/>
                <w:szCs w:val="20"/>
              </w:rPr>
              <w:t xml:space="preserve"> в порядке</w:t>
            </w:r>
            <w:r>
              <w:rPr>
                <w:sz w:val="20"/>
                <w:szCs w:val="20"/>
              </w:rPr>
              <w:t xml:space="preserve">,</w:t>
            </w:r>
            <w:r>
              <w:rPr>
                <w:sz w:val="20"/>
                <w:szCs w:val="20"/>
              </w:rPr>
              <w:t xml:space="preserve"> утвержденном указом Губернатора Архангельской области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616"/>
              <w:tabs>
                <w:tab w:val="left" w:pos="402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 15.02.2010 № 9-у «О проверке достоверности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616"/>
              <w:tabs>
                <w:tab w:val="left" w:pos="402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 полноты сведений …..»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</w:r>
          </w:p>
        </w:tc>
      </w:tr>
      <w:tr>
        <w:trPr/>
        <w:tblPrEx/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17.10.2025</w:t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8</w:t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</w:t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numPr>
                <w:numId w:val="3"/>
                <w:ilvl w:val="0"/>
              </w:numPr>
              <w:suppressLineNumbers w:val="0"/>
              <w:ind w:left="0" w:firstLine="0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Рассмотрен </w:t>
            </w:r>
            <w:r>
              <w:rPr>
                <w:b w:val="0"/>
                <w:bCs w:val="0"/>
                <w:color w:val="000000" w:themeColor="text1"/>
                <w:sz w:val="20"/>
                <w:szCs w:val="20"/>
              </w:rPr>
              <w:t xml:space="preserve">доклад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о результатах проверки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соблюдения гражданским служащим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ограничений и запретов, требований о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предотвращении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или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урегулировании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конфликта интересов, исполнения обязанностей, установленных Федеральным законом </w:t>
              <w:br/>
              <w:t xml:space="preserve">от 25 декабря 2008 года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№ 273-ФЗ «О противодействии коррупции» 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и другими федеральными законами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suppressLineNumbers w:val="0"/>
              <w:ind w:left="0" w:firstLine="0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Фактов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несоблюдени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гражданским служащим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ограничений и запретов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не выявлен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о; основани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для применения к гражданскому служащему мер юридической ответственности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 имеется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none"/>
              </w:rPr>
            </w:r>
          </w:p>
          <w:p>
            <w:pPr>
              <w:numPr>
                <w:numId w:val="3"/>
                <w:ilvl w:val="0"/>
              </w:numPr>
              <w:suppressLineNumbers w:val="0"/>
              <w:ind w:left="0" w:firstLine="0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Рассмотрен</w:t>
            </w:r>
            <w:r>
              <w:rPr>
                <w:sz w:val="20"/>
                <w:szCs w:val="20"/>
              </w:rPr>
              <w:t xml:space="preserve">ы</w:t>
            </w:r>
            <w:r>
              <w:rPr>
                <w:sz w:val="20"/>
                <w:szCs w:val="20"/>
              </w:rPr>
              <w:t xml:space="preserve"> уведомлени</w:t>
            </w:r>
            <w:r>
              <w:rPr>
                <w:sz w:val="20"/>
                <w:szCs w:val="20"/>
              </w:rPr>
              <w:t xml:space="preserve">я</w:t>
            </w:r>
            <w:r>
              <w:rPr>
                <w:sz w:val="20"/>
                <w:szCs w:val="20"/>
              </w:rPr>
              <w:t xml:space="preserve"> коммерческих (некоммерческих) организаций о заключении с работниками, замещавшими должности государственной гражданской службы Архангельской области в агентстве, трудового или гражданско-правового договора на выполнение работ, оказание услуг.</w:t>
            </w:r>
            <w:r>
              <w:rPr>
                <w:sz w:val="20"/>
                <w:szCs w:val="20"/>
              </w:rPr>
            </w:r>
          </w:p>
          <w:p>
            <w:pPr>
              <w:pStyle w:val="616"/>
              <w:suppressLineNumbers w:val="0"/>
              <w:tabs>
                <w:tab w:val="left" w:pos="402" w:leader="none"/>
              </w:tabs>
              <w:ind w:left="0" w:firstLine="0"/>
              <w:contextualSpacing w:val="0"/>
              <w:jc w:val="both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Порядок трудоустройства соблюден.</w:t>
            </w:r>
            <w:r>
              <w:rPr>
                <w:bCs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</w:tr>
      <w:tr>
        <w:trPr/>
        <w:tblPrEx/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24.10.2025</w:t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</w:t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numPr>
                <w:numId w:val="4"/>
                <w:ilvl w:val="0"/>
              </w:numPr>
              <w:suppressLineNumbers w:val="0"/>
              <w:tabs>
                <w:tab w:val="left" w:pos="0" w:leader="none"/>
                <w:tab w:val="left" w:pos="403" w:leader="none"/>
              </w:tabs>
              <w:ind w:left="0" w:firstLine="0"/>
              <w:contextualSpacing w:val="0"/>
              <w:jc w:val="both"/>
              <w:rPr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  <w:t xml:space="preserve">Рассмотрен </w:t>
            </w:r>
            <w:r>
              <w:rPr>
                <w:color w:val="000000" w:themeColor="text1"/>
                <w:sz w:val="20"/>
                <w:szCs w:val="20"/>
              </w:rPr>
              <w:t xml:space="preserve">вопрос о воз</w:t>
            </w:r>
            <w:r>
              <w:rPr>
                <w:color w:val="000000" w:themeColor="text1"/>
                <w:sz w:val="20"/>
                <w:szCs w:val="20"/>
              </w:rPr>
              <w:t xml:space="preserve">можном возникновении </w:t>
            </w:r>
            <w:r>
              <w:rPr>
                <w:color w:val="000000" w:themeColor="text1"/>
                <w:sz w:val="20"/>
                <w:szCs w:val="20"/>
              </w:rPr>
              <w:t xml:space="preserve">личной заинтересованности, которая приводит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 xml:space="preserve">или</w:t>
            </w:r>
            <w:r>
              <w:rPr>
                <w:color w:val="000000" w:themeColor="text1"/>
                <w:sz w:val="20"/>
                <w:szCs w:val="20"/>
              </w:rPr>
              <w:t xml:space="preserve"> может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 xml:space="preserve">привести к конфликту интересов</w:t>
            </w:r>
            <w:r>
              <w:rPr>
                <w:color w:val="000000" w:themeColor="text1"/>
                <w:sz w:val="20"/>
                <w:szCs w:val="20"/>
              </w:rPr>
              <w:t xml:space="preserve"> при назначении кандидата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 xml:space="preserve">на должность государственной гражданской службы Архангельской области</w:t>
            </w:r>
            <w:r>
              <w:rPr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  <w:p>
            <w:pPr>
              <w:pStyle w:val="31"/>
              <w:widowControl w:val="off"/>
              <w:numPr>
                <w:numId w:val="4"/>
                <w:ilvl w:val="0"/>
              </w:numPr>
              <w:ind w:left="0" w:firstLine="0"/>
              <w:jc w:val="both"/>
              <w:rPr>
                <w:rFonts w:eastAsiaTheme="minorHAnsi"/>
                <w:color w:val="auto"/>
                <w:sz w:val="26"/>
                <w:szCs w:val="26"/>
              </w:rPr>
            </w:pPr>
            <w:r>
              <w:rPr>
                <w:rFonts w:eastAsiaTheme="minorHAnsi"/>
                <w:color w:val="auto"/>
                <w:sz w:val="20"/>
                <w:szCs w:val="20"/>
                <w:lang w:eastAsia="en-US"/>
              </w:rPr>
              <w:t xml:space="preserve"> При назначении на должность</w:t>
            </w:r>
            <w:r>
              <w:rPr>
                <w:rFonts w:eastAsiaTheme="minorHAnsi"/>
                <w:color w:val="auto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возможно возникновение 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личн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ой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 заинтересованност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и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, которая </w:t>
            </w:r>
            <w:r>
              <w:rPr>
                <w:sz w:val="20"/>
                <w:szCs w:val="20"/>
                <w:highlight w:val="white"/>
              </w:rPr>
              <w:t xml:space="preserve">может повлиять </w:t>
            </w:r>
            <w:r>
              <w:rPr>
                <w:sz w:val="20"/>
                <w:szCs w:val="20"/>
                <w:highlight w:val="white"/>
              </w:rPr>
              <w:t xml:space="preserve">на надлежащее, объективное и беспристрастное исполнение </w:t>
            </w:r>
            <w:r>
              <w:rPr>
                <w:sz w:val="20"/>
                <w:szCs w:val="20"/>
                <w:highlight w:val="white"/>
              </w:rPr>
              <w:t xml:space="preserve">гражданским служащим</w:t>
            </w:r>
            <w:r>
              <w:rPr>
                <w:sz w:val="20"/>
                <w:szCs w:val="20"/>
                <w:highlight w:val="white"/>
              </w:rPr>
              <w:t xml:space="preserve"> служебных </w:t>
            </w:r>
            <w:r>
              <w:rPr>
                <w:sz w:val="20"/>
                <w:szCs w:val="20"/>
                <w:highlight w:val="white"/>
              </w:rPr>
              <w:t xml:space="preserve">обязанностей. </w:t>
            </w:r>
            <w:r>
              <w:rPr>
                <w:sz w:val="20"/>
                <w:szCs w:val="20"/>
              </w:rPr>
            </w:r>
            <w:r>
              <w:rPr>
                <w:rFonts w:eastAsiaTheme="minorHAnsi"/>
                <w:color w:val="auto"/>
                <w:sz w:val="20"/>
                <w:szCs w:val="20"/>
              </w:rPr>
            </w:r>
          </w:p>
          <w:p>
            <w:pPr>
              <w:pStyle w:val="31"/>
              <w:widowControl w:val="off"/>
              <w:numPr>
                <w:numId w:val="4"/>
                <w:ilvl w:val="0"/>
              </w:numPr>
              <w:ind w:left="0" w:firstLine="0"/>
              <w:jc w:val="both"/>
              <w:rPr>
                <w:rFonts w:eastAsiaTheme="minorHAnsi"/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white"/>
              </w:rPr>
              <w:t xml:space="preserve">В</w:t>
            </w:r>
            <w:r>
              <w:rPr>
                <w:sz w:val="20"/>
                <w:szCs w:val="20"/>
                <w:highlight w:val="white"/>
              </w:rPr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 целях предотвращения конфликта интересов при исполнении гражданским служащим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 должностных обязанностей р</w:t>
            </w:r>
            <w:r>
              <w:rPr>
                <w:sz w:val="20"/>
                <w:szCs w:val="20"/>
                <w:highlight w:val="white"/>
              </w:rPr>
              <w:t xml:space="preserve">екомендовано 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</w:r>
            <w:r>
              <w:rPr>
                <w:sz w:val="20"/>
                <w:szCs w:val="20"/>
                <w:highlight w:val="white"/>
              </w:rPr>
              <w:t xml:space="preserve">исключить возможность его</w:t>
            </w:r>
            <w:r>
              <w:rPr>
                <w:sz w:val="20"/>
                <w:szCs w:val="20"/>
                <w:highlight w:val="white"/>
              </w:rPr>
              <w:t xml:space="preserve"> </w:t>
            </w:r>
            <w:r>
              <w:rPr>
                <w:sz w:val="20"/>
                <w:szCs w:val="20"/>
                <w:highlight w:val="white"/>
              </w:rPr>
              <w:t xml:space="preserve">взаимодействия </w:t>
            </w:r>
            <w:r>
              <w:rPr>
                <w:sz w:val="20"/>
                <w:szCs w:val="20"/>
                <w:highlight w:val="white"/>
              </w:rPr>
              <w:t xml:space="preserve">с определенными юридическими лицами</w:t>
            </w:r>
            <w:r>
              <w:rPr>
                <w:sz w:val="20"/>
                <w:szCs w:val="20"/>
                <w:highlight w:val="white"/>
              </w:rPr>
              <w:t xml:space="preserve">.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</w:r>
            <w:r>
              <w:rPr>
                <w:rFonts w:eastAsiaTheme="minorHAnsi"/>
                <w:color w:val="auto"/>
                <w:sz w:val="20"/>
                <w:szCs w:val="20"/>
              </w:rPr>
            </w:r>
          </w:p>
          <w:p>
            <w:pPr>
              <w:pStyle w:val="31"/>
              <w:widowControl w:val="off"/>
              <w:numPr>
                <w:numId w:val="4"/>
                <w:ilvl w:val="0"/>
              </w:numPr>
              <w:ind w:left="0" w:firstLine="0"/>
              <w:jc w:val="both"/>
              <w:rPr>
                <w:rFonts w:eastAsiaTheme="minorHAnsi"/>
                <w:color w:val="auto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  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Г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р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а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ж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д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а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н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с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к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о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г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о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 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с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л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у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ж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а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щ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е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г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о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 д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ополнительно ознакомить 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с положениями статей Федерального закона № 79-ФЗ </w:t>
            </w:r>
            <w:r>
              <w:rPr>
                <w:rFonts w:eastAsiaTheme="minorHAnsi"/>
                <w:color w:val="auto"/>
                <w:sz w:val="20"/>
                <w:szCs w:val="20"/>
                <w:lang w:eastAsia="en-US"/>
              </w:rPr>
              <w:t xml:space="preserve">«О государственной гражданской службе Российской Федерации» 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и Федерального закона № 273-ФЗ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 </w:t>
            </w:r>
            <w:r>
              <w:rPr>
                <w:rFonts w:eastAsiaTheme="minorHAnsi"/>
                <w:color w:val="auto"/>
                <w:sz w:val="20"/>
                <w:szCs w:val="20"/>
                <w:lang w:eastAsia="en-US"/>
              </w:rPr>
              <w:t xml:space="preserve">«О противодействии коррупции»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, связанными с требованиями о необходимости урегулирования конфликта интересов </w:t>
            </w:r>
            <w:r>
              <w:rPr>
                <w:rFonts w:eastAsiaTheme="minorHAnsi"/>
                <w:sz w:val="20"/>
                <w:szCs w:val="20"/>
                <w:highlight w:val="white"/>
                <w:lang w:eastAsia="en-US"/>
              </w:rPr>
              <w:t xml:space="preserve">на государственной гражданской службе, в том числе с обязанностью уведомить представителя нанимателя в случае возникновения личной заинтересованности. </w:t>
            </w:r>
            <w:r>
              <w:rPr>
                <w:rFonts w:eastAsiaTheme="minorHAnsi"/>
                <w:color w:val="auto"/>
                <w:sz w:val="20"/>
                <w:szCs w:val="20"/>
                <w:highlight w:val="none"/>
                <w:lang w:eastAsia="en-US"/>
              </w:rPr>
            </w:r>
            <w:r>
              <w:rPr>
                <w:rFonts w:eastAsiaTheme="minorHAnsi"/>
                <w:color w:val="auto"/>
                <w:sz w:val="20"/>
                <w:szCs w:val="20"/>
                <w:highlight w:val="none"/>
              </w:rPr>
            </w:r>
            <w:r>
              <w:rPr>
                <w:rFonts w:eastAsiaTheme="minorHAnsi"/>
                <w:color w:val="auto"/>
                <w:sz w:val="20"/>
                <w:szCs w:val="20"/>
              </w:rPr>
            </w:r>
          </w:p>
          <w:p>
            <w:pPr>
              <w:pStyle w:val="31"/>
              <w:widowControl w:val="off"/>
              <w:numPr>
                <w:numId w:val="4"/>
                <w:ilvl w:val="0"/>
              </w:numPr>
              <w:ind w:left="0" w:firstLine="0"/>
              <w:jc w:val="both"/>
              <w:rPr>
                <w:rFonts w:eastAsiaTheme="minorHAnsi"/>
                <w:color w:val="auto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highlight w:val="none"/>
                <w:lang w:eastAsia="en-US"/>
              </w:rPr>
              <w:t xml:space="preserve"> </w:t>
            </w:r>
            <w:r>
              <w:rPr>
                <w:rFonts w:eastAsiaTheme="minorHAnsi"/>
                <w:sz w:val="20"/>
                <w:szCs w:val="20"/>
                <w:highlight w:val="none"/>
                <w:lang w:eastAsia="en-US"/>
              </w:rPr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Разъяснить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гражданскому служащему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необходимость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своевременно информировать представителя нанимателя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об изменении анкетных данных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.</w:t>
            </w:r>
            <w:r>
              <w:rPr>
                <w:rFonts w:eastAsiaTheme="minorHAnsi"/>
                <w:sz w:val="20"/>
                <w:szCs w:val="20"/>
              </w:rPr>
            </w:r>
            <w:r>
              <w:rPr>
                <w:rFonts w:eastAsiaTheme="minorHAnsi"/>
                <w:sz w:val="20"/>
                <w:szCs w:val="20"/>
              </w:rPr>
            </w:r>
            <w:r>
              <w:rPr>
                <w:rFonts w:eastAsiaTheme="minorHAnsi"/>
                <w:color w:val="auto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eastAsiaTheme="minorHAnsi"/>
                <w:color w:val="auto"/>
                <w:sz w:val="20"/>
                <w:szCs w:val="20"/>
              </w:rPr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</w:tr>
      <w:tr>
        <w:trPr>
          <w:trHeight w:val="343"/>
        </w:trPr>
        <w:tblPrEx/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18.12.2025</w:t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</w:t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</w:t>
            </w: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5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numPr>
                <w:numId w:val="1"/>
                <w:ilvl w:val="0"/>
              </w:numPr>
              <w:suppressLineNumbers w:val="0"/>
              <w:tabs>
                <w:tab w:val="left" w:pos="0" w:leader="none"/>
                <w:tab w:val="left" w:pos="403" w:leader="none"/>
              </w:tabs>
              <w:ind w:left="0" w:firstLine="0"/>
              <w:contextualSpacing w:val="0"/>
              <w:jc w:val="both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Рассмотрен</w:t>
            </w:r>
            <w:r>
              <w:rPr>
                <w:sz w:val="20"/>
                <w:szCs w:val="20"/>
              </w:rPr>
              <w:t xml:space="preserve">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результат</w:t>
            </w:r>
            <w:r>
              <w:rPr>
                <w:sz w:val="20"/>
                <w:szCs w:val="20"/>
              </w:rPr>
              <w:t xml:space="preserve">ы</w:t>
            </w:r>
            <w:r>
              <w:rPr>
                <w:sz w:val="20"/>
                <w:szCs w:val="20"/>
              </w:rPr>
              <w:t xml:space="preserve"> проведенного внутреннего анализа поступивших сведений о доходах, расходах, об имуществе и обязательствах имущественного характера гражданского служащего</w:t>
            </w:r>
            <w:r>
              <w:rPr>
                <w:sz w:val="20"/>
                <w:szCs w:val="20"/>
              </w:rPr>
              <w:t xml:space="preserve">, а также его супруги (супруга) </w:t>
            </w:r>
            <w:r>
              <w:rPr>
                <w:sz w:val="20"/>
                <w:szCs w:val="20"/>
              </w:rPr>
              <w:t xml:space="preserve">и несовершеннолетних детей</w:t>
            </w:r>
            <w:r>
              <w:rPr>
                <w:sz w:val="20"/>
                <w:szCs w:val="20"/>
              </w:rPr>
              <w:t xml:space="preserve"> (за период 2022-2024).</w:t>
            </w:r>
            <w:r>
              <w:rPr>
                <w:bCs/>
                <w:sz w:val="20"/>
                <w:szCs w:val="20"/>
              </w:rPr>
            </w:r>
            <w:r>
              <w:rPr>
                <w:bCs/>
                <w:sz w:val="20"/>
                <w:szCs w:val="20"/>
              </w:rPr>
            </w:r>
          </w:p>
          <w:p>
            <w:pPr>
              <w:tabs>
                <w:tab w:val="left" w:pos="402" w:leader="none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none"/>
              </w:rPr>
              <w:t xml:space="preserve">2. </w:t>
            </w:r>
            <w:r>
              <w:rPr>
                <w:sz w:val="20"/>
                <w:szCs w:val="20"/>
              </w:rPr>
              <w:t xml:space="preserve">В отношении  5 гражданских служащих, представивших недостоверные и неполные сведения о доходах,  принято решение расценивать совершенный проступок как несущественный.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  <w:tc>
          <w:tcPr>
            <w:tcW w:w="7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false"/>
            <w:textDirection w:val="lrTb"/>
            <w:vAlign w:val="top"/>
          </w:tcPr>
          <w:p>
            <w:pPr>
              <w:pStyle w:val="616"/>
              <w:framePr w:hSpace="180" w:wrap="around" w:vAnchor="text" w:hAnchor="margin" w:xAlign="center" w:y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</w:t>
            </w:r>
            <w:r>
              <w:rPr>
                <w:sz w:val="16"/>
                <w:szCs w:val="16"/>
              </w:rPr>
            </w:r>
          </w:p>
        </w:tc>
      </w:tr>
    </w:tbl>
    <w:p/>
    <w:sectPr>
      <w:footnotePr/>
      <w:endnotePr/>
      <w:type w:val="nextPage"/>
      <w:pgSz w:w="16838" w:h="11906" w:orient="landscape"/>
      <w:pgMar w:top="426" w:right="820" w:bottom="28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6"/>
    <w:next w:val="616"/>
    <w:link w:val="14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6"/>
    <w:next w:val="616"/>
    <w:link w:val="16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6"/>
    <w:next w:val="616"/>
    <w:link w:val="18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6"/>
    <w:next w:val="616"/>
    <w:link w:val="20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6"/>
    <w:next w:val="616"/>
    <w:link w:val="22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6"/>
    <w:next w:val="616"/>
    <w:link w:val="24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6"/>
    <w:next w:val="616"/>
    <w:link w:val="26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6"/>
    <w:next w:val="616"/>
    <w:link w:val="28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6"/>
    <w:next w:val="616"/>
    <w:link w:val="30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6"/>
    <w:uiPriority w:val="34"/>
    <w:qFormat/>
    <w:pPr>
      <w:ind w:left="720"/>
      <w:contextualSpacing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6"/>
    <w:next w:val="616"/>
    <w:link w:val="35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6"/>
    <w:next w:val="616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6"/>
    <w:next w:val="616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6"/>
    <w:next w:val="616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6"/>
    <w:link w:val="43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6"/>
    <w:link w:val="45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6"/>
    <w:next w:val="616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themeTint="80" w:sz="4" w:space="0"/>
        </w:tcBorders>
        <w:shd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/>
          <w:left w:val="none"/>
          <w:bottom w:val="single" w:color="000000" w:themeColor="accen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/>
          <w:left w:val="single" w:color="000000" w:themeColor="accen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FE" w:sz="4" w:space="0"/>
        </w:tcBorders>
        <w:shd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/>
          <w:left w:val="none"/>
          <w:bottom w:val="single" w:color="000000" w:themeColor="accent3" w:themeTint="FE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/>
          <w:left w:val="single" w:color="000000" w:themeColor="accent3" w:themeTint="FE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0" w:sz="4" w:space="0"/>
        </w:tcBorders>
        <w:shd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/>
          <w:left w:val="none"/>
          <w:bottom w:val="single" w:color="000000" w:themeColor="accent5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/>
          <w:left w:val="single" w:color="000000" w:themeColor="accent5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0" w:sz="4" w:space="0"/>
        </w:tcBorders>
        <w:shd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/>
          <w:left w:val="none"/>
          <w:bottom w:val="single" w:color="000000" w:themeColor="accent6" w:themeTint="9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/>
          <w:left w:val="single" w:color="000000" w:themeColor="accent6" w:themeTint="9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text1" w:themeTint="80" w:sz="4" w:space="0"/>
        </w:tcBorders>
        <w:shd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none"/>
          <w:bottom w:val="single" w:color="000000" w:themeColor="text1" w:themeTint="80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/>
          <w:left w:val="single" w:color="000000" w:themeColor="text1" w:themeTint="80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2" w:themeTint="97" w:sz="4" w:space="0"/>
        </w:tcBorders>
        <w:shd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none"/>
          <w:bottom w:val="single" w:color="000000" w:themeColor="accent2" w:themeTint="97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/>
          <w:left w:val="single" w:color="000000" w:themeColor="accent2" w:themeTint="97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3" w:themeTint="98" w:sz="4" w:space="0"/>
        </w:tcBorders>
        <w:shd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/>
          <w:left w:val="none"/>
          <w:bottom w:val="single" w:color="000000" w:themeColor="accent3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/>
          <w:left w:val="single" w:color="000000" w:themeColor="accent3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4" w:themeTint="9A" w:sz="4" w:space="0"/>
        </w:tcBorders>
        <w:shd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none"/>
          <w:bottom w:val="single" w:color="000000" w:themeColor="accent4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/>
          <w:left w:val="single" w:color="000000" w:themeColor="accent4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5" w:themeTint="9A" w:sz="4" w:space="0"/>
        </w:tcBorders>
        <w:shd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/>
          <w:left w:val="none"/>
          <w:bottom w:val="single" w:color="000000" w:themeColor="accent5" w:themeTint="9A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/>
          <w:left w:val="single" w:color="000000" w:themeColor="accent5" w:themeTint="9A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/>
          <w:left w:val="none"/>
          <w:bottom w:val="none"/>
          <w:right w:val="single" w:color="000000" w:themeColor="accent6" w:themeTint="98" w:sz="4" w:space="0"/>
        </w:tcBorders>
        <w:shd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/>
          <w:left w:val="none"/>
          <w:bottom w:val="single" w:color="000000" w:themeColor="accent6" w:themeTint="98" w:sz="4" w:space="0"/>
          <w:right w:val="none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/>
          <w:left w:val="single" w:color="000000" w:themeColor="accent6" w:themeTint="98" w:sz="4" w:space="0"/>
          <w:bottom w:val="none"/>
          <w:right w:val="none"/>
        </w:tcBorders>
        <w:shd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/>
          <w:bottom w:val="none"/>
          <w:right w:val="none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6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6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6"/>
    <w:next w:val="616"/>
    <w:uiPriority w:val="39"/>
    <w:unhideWhenUsed/>
    <w:pPr>
      <w:spacing w:after="57"/>
      <w:ind w:left="0" w:right="0" w:firstLine="0"/>
    </w:pPr>
  </w:style>
  <w:style w:type="paragraph" w:styleId="182">
    <w:name w:val="toc 2"/>
    <w:basedOn w:val="616"/>
    <w:next w:val="616"/>
    <w:uiPriority w:val="39"/>
    <w:unhideWhenUsed/>
    <w:pPr>
      <w:spacing w:after="57"/>
      <w:ind w:left="283" w:right="0" w:firstLine="0"/>
    </w:pPr>
  </w:style>
  <w:style w:type="paragraph" w:styleId="183">
    <w:name w:val="toc 3"/>
    <w:basedOn w:val="616"/>
    <w:next w:val="616"/>
    <w:uiPriority w:val="39"/>
    <w:unhideWhenUsed/>
    <w:pPr>
      <w:spacing w:after="57"/>
      <w:ind w:left="567" w:right="0" w:firstLine="0"/>
    </w:pPr>
  </w:style>
  <w:style w:type="paragraph" w:styleId="184">
    <w:name w:val="toc 4"/>
    <w:basedOn w:val="616"/>
    <w:next w:val="616"/>
    <w:uiPriority w:val="39"/>
    <w:unhideWhenUsed/>
    <w:pPr>
      <w:spacing w:after="57"/>
      <w:ind w:left="850" w:right="0" w:firstLine="0"/>
    </w:pPr>
  </w:style>
  <w:style w:type="paragraph" w:styleId="185">
    <w:name w:val="toc 5"/>
    <w:basedOn w:val="616"/>
    <w:next w:val="616"/>
    <w:uiPriority w:val="39"/>
    <w:unhideWhenUsed/>
    <w:pPr>
      <w:spacing w:after="57"/>
      <w:ind w:left="1134" w:right="0" w:firstLine="0"/>
    </w:pPr>
  </w:style>
  <w:style w:type="paragraph" w:styleId="186">
    <w:name w:val="toc 6"/>
    <w:basedOn w:val="616"/>
    <w:next w:val="616"/>
    <w:uiPriority w:val="39"/>
    <w:unhideWhenUsed/>
    <w:pPr>
      <w:spacing w:after="57"/>
      <w:ind w:left="1417" w:right="0" w:firstLine="0"/>
    </w:pPr>
  </w:style>
  <w:style w:type="paragraph" w:styleId="187">
    <w:name w:val="toc 7"/>
    <w:basedOn w:val="616"/>
    <w:next w:val="616"/>
    <w:uiPriority w:val="39"/>
    <w:unhideWhenUsed/>
    <w:pPr>
      <w:spacing w:after="57"/>
      <w:ind w:left="1701" w:right="0" w:firstLine="0"/>
    </w:pPr>
  </w:style>
  <w:style w:type="paragraph" w:styleId="188">
    <w:name w:val="toc 8"/>
    <w:basedOn w:val="616"/>
    <w:next w:val="616"/>
    <w:uiPriority w:val="39"/>
    <w:unhideWhenUsed/>
    <w:pPr>
      <w:spacing w:after="57"/>
      <w:ind w:left="1984" w:right="0" w:firstLine="0"/>
    </w:pPr>
  </w:style>
  <w:style w:type="paragraph" w:styleId="189">
    <w:name w:val="toc 9"/>
    <w:basedOn w:val="616"/>
    <w:next w:val="616"/>
    <w:uiPriority w:val="39"/>
    <w:unhideWhenUsed/>
    <w:pPr>
      <w:spacing w:after="57"/>
      <w:ind w:left="2268" w:right="0" w:firstLine="0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6"/>
    <w:next w:val="616"/>
    <w:uiPriority w:val="99"/>
    <w:unhideWhenUsed/>
    <w:pPr>
      <w:spacing w:after="0" w:afterAutospacing="0"/>
    </w:pPr>
  </w:style>
  <w:style w:type="paragraph" w:styleId="616" w:default="1">
    <w:name w:val="Normal"/>
    <w:next w:val="616"/>
    <w:link w:val="616"/>
    <w:qFormat/>
    <w:rPr>
      <w:rFonts w:ascii="Times New Roman" w:hAnsi="Times New Roman" w:eastAsia="Times New Roman"/>
      <w:sz w:val="24"/>
      <w:szCs w:val="24"/>
      <w:lang w:val="ru-RU" w:eastAsia="ru-RU" w:bidi="ar-SA"/>
    </w:rPr>
  </w:style>
  <w:style w:type="character" w:styleId="617">
    <w:name w:val="Основной шрифт абзаца"/>
    <w:next w:val="617"/>
    <w:link w:val="616"/>
    <w:uiPriority w:val="1"/>
    <w:semiHidden/>
    <w:unhideWhenUsed/>
  </w:style>
  <w:style w:type="table" w:styleId="618">
    <w:name w:val="Обычная таблица"/>
    <w:next w:val="618"/>
    <w:link w:val="616"/>
    <w:uiPriority w:val="99"/>
    <w:semiHidden/>
    <w:unhideWhenUsed/>
    <w:tblPr/>
  </w:style>
  <w:style w:type="numbering" w:styleId="619">
    <w:name w:val="Нет списка"/>
    <w:next w:val="619"/>
    <w:link w:val="616"/>
    <w:uiPriority w:val="99"/>
    <w:semiHidden/>
    <w:unhideWhenUsed/>
  </w:style>
  <w:style w:type="paragraph" w:styleId="620">
    <w:name w:val="ConsPlusNormal"/>
    <w:next w:val="620"/>
    <w:link w:val="616"/>
    <w:rPr>
      <w:rFonts w:ascii="Times New Roman" w:hAnsi="Times New Roman" w:eastAsia="Times New Roman"/>
      <w:sz w:val="14"/>
      <w:szCs w:val="14"/>
      <w:lang w:val="ru-RU" w:eastAsia="ru-RU" w:bidi="ar-SA"/>
    </w:rPr>
  </w:style>
  <w:style w:type="character" w:styleId="621">
    <w:name w:val="Гиперссылка"/>
    <w:next w:val="621"/>
    <w:link w:val="616"/>
    <w:uiPriority w:val="99"/>
    <w:semiHidden/>
    <w:unhideWhenUsed/>
    <w:rPr>
      <w:color w:val="0000ff"/>
      <w:u w:val="single"/>
    </w:rPr>
  </w:style>
  <w:style w:type="paragraph" w:styleId="622">
    <w:name w:val="Текст выноски"/>
    <w:basedOn w:val="616"/>
    <w:next w:val="622"/>
    <w:link w:val="623"/>
    <w:uiPriority w:val="99"/>
    <w:semiHidden/>
    <w:unhideWhenUsed/>
    <w:rPr>
      <w:rFonts w:ascii="Tahoma" w:hAnsi="Tahoma" w:cs="Tahoma"/>
      <w:sz w:val="16"/>
      <w:szCs w:val="16"/>
    </w:rPr>
  </w:style>
  <w:style w:type="character" w:styleId="623">
    <w:name w:val="Текст выноски Знак"/>
    <w:next w:val="623"/>
    <w:link w:val="622"/>
    <w:uiPriority w:val="99"/>
    <w:semiHidden/>
    <w:rPr>
      <w:rFonts w:ascii="Tahoma" w:hAnsi="Tahoma" w:eastAsia="Times New Roman" w:cs="Tahoma"/>
      <w:sz w:val="16"/>
      <w:szCs w:val="16"/>
    </w:rPr>
  </w:style>
  <w:style w:type="character" w:styleId="1831" w:default="1">
    <w:name w:val="Default Paragraph Font"/>
    <w:uiPriority w:val="1"/>
    <w:semiHidden/>
    <w:unhideWhenUsed/>
  </w:style>
  <w:style w:type="numbering" w:styleId="1832" w:default="1">
    <w:name w:val="No List"/>
    <w:uiPriority w:val="99"/>
    <w:semiHidden/>
    <w:unhideWhenUsed/>
  </w:style>
  <w:style w:type="table" w:styleId="183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Жернакова Екатерина Юрьевна</dc:creator>
  <cp:lastModifiedBy>smolenskiy@arhams.ru</cp:lastModifiedBy>
  <cp:revision>7</cp:revision>
  <dcterms:created xsi:type="dcterms:W3CDTF">2025-07-09T13:37:00Z</dcterms:created>
  <dcterms:modified xsi:type="dcterms:W3CDTF">2026-01-19T13:30:44Z</dcterms:modified>
  <cp:version>917504</cp:version>
</cp:coreProperties>
</file>