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3B0" w:rsidRPr="00B333B0" w:rsidRDefault="00B333B0" w:rsidP="00B333B0">
      <w:pPr>
        <w:pStyle w:val="a3"/>
        <w:shd w:val="clear" w:color="auto" w:fill="FFFFFF"/>
        <w:spacing w:before="0" w:beforeAutospacing="0" w:after="0" w:afterAutospacing="0"/>
        <w:jc w:val="center"/>
        <w:rPr>
          <w:rFonts w:ascii="Arial" w:hAnsi="Arial" w:cs="Arial"/>
          <w:b/>
          <w:color w:val="000000"/>
          <w:sz w:val="21"/>
          <w:szCs w:val="21"/>
        </w:rPr>
      </w:pPr>
      <w:bookmarkStart w:id="0" w:name="_GoBack"/>
      <w:bookmarkEnd w:id="0"/>
      <w:r w:rsidRPr="00B333B0">
        <w:rPr>
          <w:rFonts w:ascii="Arial" w:hAnsi="Arial" w:cs="Arial"/>
          <w:b/>
          <w:color w:val="000000"/>
          <w:sz w:val="21"/>
          <w:szCs w:val="21"/>
        </w:rPr>
        <w:t>Налоговый кодекс Российской Федерации (часть вторая)</w:t>
      </w:r>
    </w:p>
    <w:p w:rsidR="00B333B0" w:rsidRDefault="00B333B0" w:rsidP="00B333B0">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color w:val="000000"/>
          <w:sz w:val="21"/>
          <w:szCs w:val="21"/>
        </w:rPr>
        <w:br/>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bookmarkStart w:id="1" w:name="Par0"/>
      <w:bookmarkEnd w:id="1"/>
      <w:r>
        <w:rPr>
          <w:rFonts w:ascii="Arial" w:hAnsi="Arial" w:cs="Arial"/>
          <w:color w:val="000000"/>
          <w:sz w:val="21"/>
          <w:szCs w:val="21"/>
        </w:rPr>
        <w:t>Статья 333.19. Размеры государственной пошлины по делам, рассматриваемым Верховным Судом Российской Федерации, судами общей юрисдикции, мировыми судьями</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(в ред. Федерального </w:t>
      </w:r>
      <w:hyperlink r:id="rId5" w:history="1">
        <w:r>
          <w:rPr>
            <w:rStyle w:val="a4"/>
            <w:rFonts w:ascii="Arial" w:hAnsi="Arial" w:cs="Arial"/>
            <w:color w:val="0066CC"/>
            <w:sz w:val="21"/>
            <w:szCs w:val="21"/>
          </w:rPr>
          <w:t>закона</w:t>
        </w:r>
      </w:hyperlink>
      <w:r>
        <w:rPr>
          <w:rFonts w:ascii="Arial" w:hAnsi="Arial" w:cs="Arial"/>
          <w:color w:val="000000"/>
          <w:sz w:val="21"/>
          <w:szCs w:val="21"/>
        </w:rPr>
        <w:t> от 28.06.2014 N 198-ФЗ)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bookmarkStart w:id="2" w:name="Par5"/>
      <w:bookmarkEnd w:id="2"/>
      <w:r>
        <w:rPr>
          <w:rFonts w:ascii="Arial" w:hAnsi="Arial" w:cs="Arial"/>
          <w:color w:val="000000"/>
          <w:sz w:val="21"/>
          <w:szCs w:val="21"/>
        </w:rPr>
        <w:t>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bookmarkStart w:id="3" w:name="Par6"/>
      <w:bookmarkEnd w:id="3"/>
      <w:r>
        <w:rPr>
          <w:rFonts w:ascii="Arial" w:hAnsi="Arial" w:cs="Arial"/>
          <w:color w:val="000000"/>
          <w:sz w:val="21"/>
          <w:szCs w:val="21"/>
        </w:rPr>
        <w:t>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до 100000 рублей - 4000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100001 рубля до 300000 рублей - 4000 рублей плюс 3 процента суммы, превышающей 100000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300001 рубля до 500000 рублей - 10000 рублей плюс 2,5 процента суммы, превышающей 300000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500001 рубля до 1000000 рублей - 15 000 рублей плюс 2 процента суммы, превышающей 500000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1000001 рубля до 3000000 рублей - 25 000 рублей плюс 1 процент суммы, превышающей 1000000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3000001 рубля до 8000000 рублей - 45000 рублей плюс 0,7 процента суммы, превышающей 3000000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8000001 рубля до 24 000000 рублей - 80 000 рублей плюс 0,35 процента суммы, превышающей 8000000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24000001 рубля до 50000000 рублей - 136000 рублей плюс 0,3 процента суммы, превышающей 24000000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от 50000001 рубля до 100000000 рублей - 214000 рублей плюс 0,2 процента суммы, превышающей 50000000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свыше 100000000 рублей - 314000 рублей плюс 0,15 процента суммы, превышающей 100000000 рублей, но не более 900000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при подаче искового заявления имущественного характера, не подлежащего оценке, искового заявления неимущественного характера: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- 20000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w:t>
      </w:r>
      <w:proofErr w:type="gramStart"/>
      <w:r>
        <w:rPr>
          <w:rFonts w:ascii="Arial" w:hAnsi="Arial" w:cs="Arial"/>
          <w:color w:val="000000"/>
          <w:sz w:val="21"/>
          <w:szCs w:val="21"/>
        </w:rPr>
        <w:t>недействительными</w:t>
      </w:r>
      <w:proofErr w:type="gramEnd"/>
      <w:r>
        <w:rPr>
          <w:rFonts w:ascii="Arial" w:hAnsi="Arial" w:cs="Arial"/>
          <w:color w:val="000000"/>
          <w:sz w:val="21"/>
          <w:szCs w:val="21"/>
        </w:rPr>
        <w:t>, не содержащего требования о применении последствий недействительности сделок:</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- 20000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при подаче искового заявления о расторжении брака - 5000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1"/>
          <w:szCs w:val="21"/>
        </w:rPr>
        <w:t>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w:t>
      </w:r>
      <w:proofErr w:type="gramEnd"/>
      <w:r>
        <w:rPr>
          <w:rFonts w:ascii="Arial" w:hAnsi="Arial" w:cs="Arial"/>
          <w:color w:val="000000"/>
          <w:sz w:val="21"/>
          <w:szCs w:val="21"/>
        </w:rPr>
        <w:t xml:space="preserve"> Собрания Российской Федерации, Правительства Российской Федерации, Правительственной комиссии по </w:t>
      </w:r>
      <w:proofErr w:type="gramStart"/>
      <w:r>
        <w:rPr>
          <w:rFonts w:ascii="Arial" w:hAnsi="Arial" w:cs="Arial"/>
          <w:color w:val="000000"/>
          <w:sz w:val="21"/>
          <w:szCs w:val="21"/>
        </w:rPr>
        <w:t>контролю за</w:t>
      </w:r>
      <w:proofErr w:type="gramEnd"/>
      <w:r>
        <w:rPr>
          <w:rFonts w:ascii="Arial" w:hAnsi="Arial" w:cs="Arial"/>
          <w:color w:val="000000"/>
          <w:sz w:val="21"/>
          <w:szCs w:val="21"/>
        </w:rPr>
        <w:t xml:space="preserve">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lastRenderedPageBreak/>
        <w:t>для физических лиц - 4000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- 20000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7) при подаче административного искового заявления о признании ненормативного правового акта </w:t>
      </w:r>
      <w:proofErr w:type="gramStart"/>
      <w:r>
        <w:rPr>
          <w:rFonts w:ascii="Arial" w:hAnsi="Arial" w:cs="Arial"/>
          <w:color w:val="000000"/>
          <w:sz w:val="21"/>
          <w:szCs w:val="21"/>
        </w:rPr>
        <w:t>недействительным</w:t>
      </w:r>
      <w:proofErr w:type="gramEnd"/>
      <w:r>
        <w:rPr>
          <w:rFonts w:ascii="Arial" w:hAnsi="Arial" w:cs="Arial"/>
          <w:color w:val="000000"/>
          <w:sz w:val="21"/>
          <w:szCs w:val="21"/>
        </w:rPr>
        <w:t xml:space="preserve">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- 15000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8) при подаче заявления по делам особого производства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9) при подаче заявления о правопреемстве, кроме случаев универсального правопреемства: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- 2000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- 15000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w:t>
      </w:r>
      <w:hyperlink r:id="rId6" w:anchor="Par6" w:history="1">
        <w:r>
          <w:rPr>
            <w:rStyle w:val="a4"/>
            <w:rFonts w:ascii="Arial" w:hAnsi="Arial" w:cs="Arial"/>
            <w:color w:val="0066CC"/>
            <w:sz w:val="21"/>
            <w:szCs w:val="21"/>
          </w:rPr>
          <w:t>подпункта 1</w:t>
        </w:r>
      </w:hyperlink>
      <w:r>
        <w:rPr>
          <w:rFonts w:ascii="Arial" w:hAnsi="Arial" w:cs="Arial"/>
          <w:color w:val="000000"/>
          <w:sz w:val="21"/>
          <w:szCs w:val="21"/>
        </w:rPr>
        <w:t> настоящего пункта, исходя из суммы, подтвержденной соответствующим решением;</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11) при подаче заявления об отмене решения третейского суда - в размере государственной пошлины, исчисленной по правилам </w:t>
      </w:r>
      <w:hyperlink r:id="rId7" w:anchor="Par6" w:history="1">
        <w:r>
          <w:rPr>
            <w:rStyle w:val="a4"/>
            <w:rFonts w:ascii="Arial" w:hAnsi="Arial" w:cs="Arial"/>
            <w:color w:val="0066CC"/>
            <w:sz w:val="21"/>
            <w:szCs w:val="21"/>
          </w:rPr>
          <w:t>подпункта 1</w:t>
        </w:r>
      </w:hyperlink>
      <w:r>
        <w:rPr>
          <w:rFonts w:ascii="Arial" w:hAnsi="Arial" w:cs="Arial"/>
          <w:color w:val="000000"/>
          <w:sz w:val="21"/>
          <w:szCs w:val="21"/>
        </w:rPr>
        <w:t> настоящего пункта, исходя из оспариваемой заявителем суммы;</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12) при подаче заявления о выдаче дубликата исполнительного листа, о пересмотре заочного решения судом, вынесшим это решение, - 1500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14) при подаче заявления о пересмотре судебных постановлений по новым или вновь открывшимся обстоятельствам - 10000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16) при подаче заявления по делам о взыскании алиментов - 150 рублей. Если судом выносится решение о взыскании </w:t>
      </w:r>
      <w:proofErr w:type="gramStart"/>
      <w:r>
        <w:rPr>
          <w:rFonts w:ascii="Arial" w:hAnsi="Arial" w:cs="Arial"/>
          <w:color w:val="000000"/>
          <w:sz w:val="21"/>
          <w:szCs w:val="21"/>
        </w:rPr>
        <w:t>алиментов</w:t>
      </w:r>
      <w:proofErr w:type="gramEnd"/>
      <w:r>
        <w:rPr>
          <w:rFonts w:ascii="Arial" w:hAnsi="Arial" w:cs="Arial"/>
          <w:color w:val="000000"/>
          <w:sz w:val="21"/>
          <w:szCs w:val="21"/>
        </w:rPr>
        <w:t xml:space="preserve"> как на содержание детей, так и на содержание истца, размер государственной пошлины увеличивается в два раза;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- 300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- 6000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19) при подаче апелляционной жалобы, частной жалобы, а также при подаче кассационной жалобы на судебный приказ: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- 3000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- 15000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20) при подаче кассационной жалобы:</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- 20000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физических лиц - 7000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для организаций - 25000 рублей.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 1 в ред. Федерального </w:t>
      </w:r>
      <w:hyperlink r:id="rId8" w:history="1">
        <w:r>
          <w:rPr>
            <w:rStyle w:val="a4"/>
            <w:rFonts w:ascii="Arial" w:hAnsi="Arial" w:cs="Arial"/>
            <w:color w:val="0066CC"/>
            <w:sz w:val="21"/>
            <w:szCs w:val="21"/>
          </w:rPr>
          <w:t>закона</w:t>
        </w:r>
      </w:hyperlink>
      <w:r>
        <w:rPr>
          <w:rFonts w:ascii="Arial" w:hAnsi="Arial" w:cs="Arial"/>
          <w:color w:val="000000"/>
          <w:sz w:val="21"/>
          <w:szCs w:val="21"/>
        </w:rPr>
        <w:t> от 08.08.2024 N 259-ФЗ)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Положения настоящей статьи применяются с учетом положений </w:t>
      </w:r>
      <w:hyperlink r:id="rId9" w:anchor="Par58" w:history="1">
        <w:r>
          <w:rPr>
            <w:rStyle w:val="a4"/>
            <w:rFonts w:ascii="Arial" w:hAnsi="Arial" w:cs="Arial"/>
            <w:color w:val="0066CC"/>
            <w:sz w:val="21"/>
            <w:szCs w:val="21"/>
          </w:rPr>
          <w:t>статьи 333.20</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bookmarkStart w:id="4" w:name="Par58"/>
      <w:bookmarkEnd w:id="4"/>
      <w:r>
        <w:rPr>
          <w:rFonts w:ascii="Arial" w:hAnsi="Arial" w:cs="Arial"/>
          <w:color w:val="000000"/>
          <w:sz w:val="21"/>
          <w:szCs w:val="21"/>
        </w:rPr>
        <w:lastRenderedPageBreak/>
        <w:t>Статья 333.20. Особенности уплаты государственной пошлины при обращении в Верховный Суд Российской Федерации, суды общей юрисдикции, к мировым судьям</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(в ред. Федерального </w:t>
      </w:r>
      <w:hyperlink r:id="rId10" w:history="1">
        <w:r>
          <w:rPr>
            <w:rStyle w:val="a4"/>
            <w:rFonts w:ascii="Arial" w:hAnsi="Arial" w:cs="Arial"/>
            <w:color w:val="0066CC"/>
            <w:sz w:val="21"/>
            <w:szCs w:val="21"/>
          </w:rPr>
          <w:t>закона</w:t>
        </w:r>
      </w:hyperlink>
      <w:r>
        <w:rPr>
          <w:rFonts w:ascii="Arial" w:hAnsi="Arial" w:cs="Arial"/>
          <w:color w:val="000000"/>
          <w:sz w:val="21"/>
          <w:szCs w:val="21"/>
        </w:rPr>
        <w:t> от 28.06.2014 N 198-ФЗ)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По делам, рассматриваемым Верховным Судом Российской Федерации в соответствии с гражданским процессуальным </w:t>
      </w:r>
      <w:hyperlink r:id="rId11" w:history="1">
        <w:r>
          <w:rPr>
            <w:rStyle w:val="a4"/>
            <w:rFonts w:ascii="Arial" w:hAnsi="Arial" w:cs="Arial"/>
            <w:color w:val="0066CC"/>
            <w:sz w:val="21"/>
            <w:szCs w:val="21"/>
          </w:rPr>
          <w:t>законодательством</w:t>
        </w:r>
      </w:hyperlink>
      <w:r>
        <w:rPr>
          <w:rFonts w:ascii="Arial" w:hAnsi="Arial" w:cs="Arial"/>
          <w:color w:val="000000"/>
          <w:sz w:val="21"/>
          <w:szCs w:val="21"/>
        </w:rPr>
        <w:t> Российской Федерации и </w:t>
      </w:r>
      <w:hyperlink r:id="rId12" w:history="1">
        <w:r>
          <w:rPr>
            <w:rStyle w:val="a4"/>
            <w:rFonts w:ascii="Arial" w:hAnsi="Arial" w:cs="Arial"/>
            <w:color w:val="0066CC"/>
            <w:sz w:val="21"/>
            <w:szCs w:val="21"/>
          </w:rPr>
          <w:t>законодательством</w:t>
        </w:r>
      </w:hyperlink>
      <w:r>
        <w:rPr>
          <w:rFonts w:ascii="Arial" w:hAnsi="Arial" w:cs="Arial"/>
          <w:color w:val="000000"/>
          <w:sz w:val="21"/>
          <w:szCs w:val="21"/>
        </w:rPr>
        <w:t>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(в ред. Федеральных законов от 28.06.2014 </w:t>
      </w:r>
      <w:hyperlink r:id="rId13" w:history="1">
        <w:r>
          <w:rPr>
            <w:rStyle w:val="a4"/>
            <w:rFonts w:ascii="Arial" w:hAnsi="Arial" w:cs="Arial"/>
            <w:color w:val="0066CC"/>
            <w:sz w:val="21"/>
            <w:szCs w:val="21"/>
          </w:rPr>
          <w:t>N 198-ФЗ</w:t>
        </w:r>
      </w:hyperlink>
      <w:r>
        <w:rPr>
          <w:rFonts w:ascii="Arial" w:hAnsi="Arial" w:cs="Arial"/>
          <w:color w:val="000000"/>
          <w:sz w:val="21"/>
          <w:szCs w:val="21"/>
        </w:rPr>
        <w:t>, от 08.03.2015 </w:t>
      </w:r>
      <w:hyperlink r:id="rId14" w:history="1">
        <w:r>
          <w:rPr>
            <w:rStyle w:val="a4"/>
            <w:rFonts w:ascii="Arial" w:hAnsi="Arial" w:cs="Arial"/>
            <w:color w:val="0066CC"/>
            <w:sz w:val="21"/>
            <w:szCs w:val="21"/>
          </w:rPr>
          <w:t>N 23-ФЗ</w:t>
        </w:r>
      </w:hyperlink>
      <w:r>
        <w:rPr>
          <w:rFonts w:ascii="Arial" w:hAnsi="Arial" w:cs="Arial"/>
          <w:color w:val="000000"/>
          <w:sz w:val="21"/>
          <w:szCs w:val="21"/>
        </w:rPr>
        <w:t>)</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(в ред. Федерального </w:t>
      </w:r>
      <w:hyperlink r:id="rId15"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w:t>
      </w:r>
      <w:hyperlink r:id="rId16" w:history="1">
        <w:r>
          <w:rPr>
            <w:rStyle w:val="a4"/>
            <w:rFonts w:ascii="Arial" w:hAnsi="Arial" w:cs="Arial"/>
            <w:color w:val="0066CC"/>
            <w:sz w:val="21"/>
            <w:szCs w:val="21"/>
          </w:rPr>
          <w:t>законодательством</w:t>
        </w:r>
      </w:hyperlink>
      <w:r>
        <w:rPr>
          <w:rFonts w:ascii="Arial" w:hAnsi="Arial" w:cs="Arial"/>
          <w:color w:val="000000"/>
          <w:sz w:val="21"/>
          <w:szCs w:val="21"/>
        </w:rPr>
        <w:t> Российской Федерации, </w:t>
      </w:r>
      <w:hyperlink r:id="rId17" w:history="1">
        <w:r>
          <w:rPr>
            <w:rStyle w:val="a4"/>
            <w:rFonts w:ascii="Arial" w:hAnsi="Arial" w:cs="Arial"/>
            <w:color w:val="0066CC"/>
            <w:sz w:val="21"/>
            <w:szCs w:val="21"/>
          </w:rPr>
          <w:t>законодательством</w:t>
        </w:r>
      </w:hyperlink>
      <w:r>
        <w:rPr>
          <w:rFonts w:ascii="Arial" w:hAnsi="Arial" w:cs="Arial"/>
          <w:color w:val="000000"/>
          <w:sz w:val="21"/>
          <w:szCs w:val="21"/>
        </w:rPr>
        <w:t> об административном судопроизводстве;</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2 в ред. Федерального </w:t>
      </w:r>
      <w:hyperlink r:id="rId18"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если спор о признании права собственности истца (истцов) на это имущество ранее не решался судом - в соответствии с </w:t>
      </w:r>
      <w:hyperlink r:id="rId19" w:anchor="Par5" w:history="1">
        <w:r>
          <w:rPr>
            <w:rStyle w:val="a4"/>
            <w:rFonts w:ascii="Arial" w:hAnsi="Arial" w:cs="Arial"/>
            <w:color w:val="0066CC"/>
            <w:sz w:val="21"/>
            <w:szCs w:val="21"/>
          </w:rPr>
          <w:t>подпунктом 1 пункта 1 статьи 333.19</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если ранее суд вынес решение о признании права собственности истца (истцов) на указанное имущество - в соответствии с </w:t>
      </w:r>
      <w:hyperlink r:id="rId20" w:anchor="Par5" w:history="1">
        <w:r>
          <w:rPr>
            <w:rStyle w:val="a4"/>
            <w:rFonts w:ascii="Arial" w:hAnsi="Arial" w:cs="Arial"/>
            <w:color w:val="0066CC"/>
            <w:sz w:val="21"/>
            <w:szCs w:val="21"/>
          </w:rPr>
          <w:t>подпунктом 3 пункта 1 статьи 333.19</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w:t>
      </w:r>
      <w:hyperlink r:id="rId21" w:anchor="Par0" w:history="1">
        <w:r>
          <w:rPr>
            <w:rStyle w:val="a4"/>
            <w:rFonts w:ascii="Arial" w:hAnsi="Arial" w:cs="Arial"/>
            <w:color w:val="0066CC"/>
            <w:sz w:val="21"/>
            <w:szCs w:val="21"/>
          </w:rPr>
          <w:t>статьи 333.19</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4 в ред. Федерального </w:t>
      </w:r>
      <w:hyperlink r:id="rId22"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6 в ред. Федерального </w:t>
      </w:r>
      <w:hyperlink r:id="rId23"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7 в ред. Федерального </w:t>
      </w:r>
      <w:hyperlink r:id="rId24"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1"/>
          <w:szCs w:val="21"/>
        </w:rPr>
        <w:t>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roofErr w:type="gramEnd"/>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8 в ред. Федерального </w:t>
      </w:r>
      <w:hyperlink r:id="rId25" w:history="1">
        <w:r>
          <w:rPr>
            <w:rStyle w:val="a4"/>
            <w:rFonts w:ascii="Arial" w:hAnsi="Arial" w:cs="Arial"/>
            <w:color w:val="0066CC"/>
            <w:sz w:val="21"/>
            <w:szCs w:val="21"/>
          </w:rPr>
          <w:t>закона</w:t>
        </w:r>
      </w:hyperlink>
      <w:r>
        <w:rPr>
          <w:rFonts w:ascii="Arial" w:hAnsi="Arial" w:cs="Arial"/>
          <w:color w:val="000000"/>
          <w:sz w:val="21"/>
          <w:szCs w:val="21"/>
        </w:rPr>
        <w:t> от 08.03.2015 N 23-ФЗ)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w:t>
      </w:r>
      <w:r>
        <w:rPr>
          <w:rFonts w:ascii="Arial" w:hAnsi="Arial" w:cs="Arial"/>
          <w:color w:val="000000"/>
          <w:sz w:val="21"/>
          <w:szCs w:val="21"/>
        </w:rPr>
        <w:lastRenderedPageBreak/>
        <w:t>при разрешении дела, в срок, установленный </w:t>
      </w:r>
      <w:hyperlink r:id="rId26" w:history="1">
        <w:r>
          <w:rPr>
            <w:rStyle w:val="a4"/>
            <w:rFonts w:ascii="Arial" w:hAnsi="Arial" w:cs="Arial"/>
            <w:color w:val="0066CC"/>
            <w:sz w:val="21"/>
            <w:szCs w:val="21"/>
          </w:rPr>
          <w:t>подпунктом 2 пункта 1 статьи 333.18</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w:t>
      </w:r>
      <w:hyperlink r:id="rId27" w:history="1">
        <w:r>
          <w:rPr>
            <w:rStyle w:val="a4"/>
            <w:rFonts w:ascii="Arial" w:hAnsi="Arial" w:cs="Arial"/>
            <w:color w:val="0066CC"/>
            <w:sz w:val="21"/>
            <w:szCs w:val="21"/>
          </w:rPr>
          <w:t>подпунктом 2 пункта 1 статьи 333.18</w:t>
        </w:r>
      </w:hyperlink>
      <w:r>
        <w:rPr>
          <w:rFonts w:ascii="Arial" w:hAnsi="Arial" w:cs="Arial"/>
          <w:color w:val="000000"/>
          <w:sz w:val="21"/>
          <w:szCs w:val="21"/>
        </w:rPr>
        <w:t>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w:t>
      </w:r>
      <w:hyperlink r:id="rId28" w:history="1">
        <w:r>
          <w:rPr>
            <w:rStyle w:val="a4"/>
            <w:rFonts w:ascii="Arial" w:hAnsi="Arial" w:cs="Arial"/>
            <w:color w:val="0066CC"/>
            <w:sz w:val="21"/>
            <w:szCs w:val="21"/>
          </w:rPr>
          <w:t>статьей 333.40</w:t>
        </w:r>
      </w:hyperlink>
      <w:r>
        <w:rPr>
          <w:rFonts w:ascii="Arial" w:hAnsi="Arial" w:cs="Arial"/>
          <w:color w:val="000000"/>
          <w:sz w:val="21"/>
          <w:szCs w:val="21"/>
        </w:rPr>
        <w:t>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11) при подаче исковых заявлений об истребовании наследниками принадлежащей им доли имущества государственная пошлина уплачивается в том </w:t>
      </w:r>
      <w:hyperlink r:id="rId29" w:anchor="Par5" w:history="1">
        <w:r>
          <w:rPr>
            <w:rStyle w:val="a4"/>
            <w:rFonts w:ascii="Arial" w:hAnsi="Arial" w:cs="Arial"/>
            <w:color w:val="0066CC"/>
            <w:sz w:val="21"/>
            <w:szCs w:val="21"/>
          </w:rPr>
          <w:t>порядке</w:t>
        </w:r>
      </w:hyperlink>
      <w:r>
        <w:rPr>
          <w:rFonts w:ascii="Arial" w:hAnsi="Arial" w:cs="Arial"/>
          <w:color w:val="000000"/>
          <w:sz w:val="21"/>
          <w:szCs w:val="21"/>
        </w:rPr>
        <w:t>,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12) при подаче исковых заявлений о расторжении брака с одновременным разделом совместно нажитого </w:t>
      </w:r>
      <w:hyperlink r:id="rId30" w:history="1">
        <w:r>
          <w:rPr>
            <w:rStyle w:val="a4"/>
            <w:rFonts w:ascii="Arial" w:hAnsi="Arial" w:cs="Arial"/>
            <w:color w:val="0066CC"/>
            <w:sz w:val="21"/>
            <w:szCs w:val="21"/>
          </w:rPr>
          <w:t>имущества супругов</w:t>
        </w:r>
      </w:hyperlink>
      <w:r>
        <w:rPr>
          <w:rFonts w:ascii="Arial" w:hAnsi="Arial" w:cs="Arial"/>
          <w:color w:val="000000"/>
          <w:sz w:val="21"/>
          <w:szCs w:val="21"/>
        </w:rPr>
        <w:t>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13 в ред. Федерального </w:t>
      </w:r>
      <w:hyperlink r:id="rId31" w:history="1">
        <w:r>
          <w:rPr>
            <w:rStyle w:val="a4"/>
            <w:rFonts w:ascii="Arial" w:hAnsi="Arial" w:cs="Arial"/>
            <w:color w:val="0066CC"/>
            <w:sz w:val="21"/>
            <w:szCs w:val="21"/>
          </w:rPr>
          <w:t>закона</w:t>
        </w:r>
      </w:hyperlink>
      <w:r>
        <w:rPr>
          <w:rFonts w:ascii="Arial" w:hAnsi="Arial" w:cs="Arial"/>
          <w:color w:val="000000"/>
          <w:sz w:val="21"/>
          <w:szCs w:val="21"/>
        </w:rPr>
        <w:t> от 02.03.2016 N 48-ФЗ)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14) утратил силу. - </w:t>
      </w:r>
      <w:proofErr w:type="gramStart"/>
      <w:r>
        <w:rPr>
          <w:rFonts w:ascii="Arial" w:hAnsi="Arial" w:cs="Arial"/>
          <w:color w:val="000000"/>
          <w:sz w:val="21"/>
          <w:szCs w:val="21"/>
        </w:rPr>
        <w:t>Федеральный </w:t>
      </w:r>
      <w:hyperlink r:id="rId32" w:history="1">
        <w:r>
          <w:rPr>
            <w:rStyle w:val="a4"/>
            <w:rFonts w:ascii="Arial" w:hAnsi="Arial" w:cs="Arial"/>
            <w:color w:val="0066CC"/>
            <w:sz w:val="21"/>
            <w:szCs w:val="21"/>
          </w:rPr>
          <w:t>закон</w:t>
        </w:r>
      </w:hyperlink>
      <w:r>
        <w:rPr>
          <w:rFonts w:ascii="Arial" w:hAnsi="Arial" w:cs="Arial"/>
          <w:color w:val="000000"/>
          <w:sz w:val="21"/>
          <w:szCs w:val="21"/>
        </w:rPr>
        <w:t> от 27.12.2009 N 374-ФЗ;</w:t>
      </w:r>
      <w:proofErr w:type="gramEnd"/>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xml:space="preserve">. 15 </w:t>
      </w:r>
      <w:proofErr w:type="gramStart"/>
      <w:r>
        <w:rPr>
          <w:rFonts w:ascii="Arial" w:hAnsi="Arial" w:cs="Arial"/>
          <w:color w:val="000000"/>
          <w:sz w:val="21"/>
          <w:szCs w:val="21"/>
        </w:rPr>
        <w:t>введен</w:t>
      </w:r>
      <w:proofErr w:type="gramEnd"/>
      <w:r>
        <w:rPr>
          <w:rFonts w:ascii="Arial" w:hAnsi="Arial" w:cs="Arial"/>
          <w:color w:val="000000"/>
          <w:sz w:val="21"/>
          <w:szCs w:val="21"/>
        </w:rPr>
        <w:t xml:space="preserve"> Федеральным </w:t>
      </w:r>
      <w:hyperlink r:id="rId33" w:history="1">
        <w:r>
          <w:rPr>
            <w:rStyle w:val="a4"/>
            <w:rFonts w:ascii="Arial" w:hAnsi="Arial" w:cs="Arial"/>
            <w:color w:val="0066CC"/>
            <w:sz w:val="21"/>
            <w:szCs w:val="21"/>
          </w:rPr>
          <w:t>законом</w:t>
        </w:r>
      </w:hyperlink>
      <w:r>
        <w:rPr>
          <w:rFonts w:ascii="Arial" w:hAnsi="Arial" w:cs="Arial"/>
          <w:color w:val="000000"/>
          <w:sz w:val="21"/>
          <w:szCs w:val="21"/>
        </w:rPr>
        <w:t> от 08.08.2024 N 259-ФЗ)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пп</w:t>
      </w:r>
      <w:proofErr w:type="spellEnd"/>
      <w:r>
        <w:rPr>
          <w:rFonts w:ascii="Arial" w:hAnsi="Arial" w:cs="Arial"/>
          <w:color w:val="000000"/>
          <w:sz w:val="21"/>
          <w:szCs w:val="21"/>
        </w:rPr>
        <w:t xml:space="preserve">. 16 </w:t>
      </w:r>
      <w:proofErr w:type="gramStart"/>
      <w:r>
        <w:rPr>
          <w:rFonts w:ascii="Arial" w:hAnsi="Arial" w:cs="Arial"/>
          <w:color w:val="000000"/>
          <w:sz w:val="21"/>
          <w:szCs w:val="21"/>
        </w:rPr>
        <w:t>введен</w:t>
      </w:r>
      <w:proofErr w:type="gramEnd"/>
      <w:r>
        <w:rPr>
          <w:rFonts w:ascii="Arial" w:hAnsi="Arial" w:cs="Arial"/>
          <w:color w:val="000000"/>
          <w:sz w:val="21"/>
          <w:szCs w:val="21"/>
        </w:rPr>
        <w:t xml:space="preserve"> Федеральным </w:t>
      </w:r>
      <w:hyperlink r:id="rId34" w:history="1">
        <w:r>
          <w:rPr>
            <w:rStyle w:val="a4"/>
            <w:rFonts w:ascii="Arial" w:hAnsi="Arial" w:cs="Arial"/>
            <w:color w:val="0066CC"/>
            <w:sz w:val="21"/>
            <w:szCs w:val="21"/>
          </w:rPr>
          <w:t>законом</w:t>
        </w:r>
      </w:hyperlink>
      <w:r>
        <w:rPr>
          <w:rFonts w:ascii="Arial" w:hAnsi="Arial" w:cs="Arial"/>
          <w:color w:val="000000"/>
          <w:sz w:val="21"/>
          <w:szCs w:val="21"/>
        </w:rPr>
        <w:t> от 08.08.2024 N 259-ФЗ)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w:t>
      </w:r>
      <w:hyperlink r:id="rId35" w:history="1">
        <w:r>
          <w:rPr>
            <w:rStyle w:val="a4"/>
            <w:rFonts w:ascii="Arial" w:hAnsi="Arial" w:cs="Arial"/>
            <w:color w:val="0066CC"/>
            <w:sz w:val="21"/>
            <w:szCs w:val="21"/>
          </w:rPr>
          <w:t>статьей 333.41</w:t>
        </w:r>
      </w:hyperlink>
      <w:r>
        <w:rPr>
          <w:rFonts w:ascii="Arial" w:hAnsi="Arial" w:cs="Arial"/>
          <w:color w:val="000000"/>
          <w:sz w:val="21"/>
          <w:szCs w:val="21"/>
        </w:rPr>
        <w:t> настоящего Кодекса.</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w:t>
      </w:r>
      <w:proofErr w:type="gramStart"/>
      <w:r>
        <w:rPr>
          <w:rFonts w:ascii="Arial" w:hAnsi="Arial" w:cs="Arial"/>
          <w:color w:val="000000"/>
          <w:sz w:val="21"/>
          <w:szCs w:val="21"/>
        </w:rPr>
        <w:t>п</w:t>
      </w:r>
      <w:proofErr w:type="gramEnd"/>
      <w:r>
        <w:rPr>
          <w:rFonts w:ascii="Arial" w:hAnsi="Arial" w:cs="Arial"/>
          <w:color w:val="000000"/>
          <w:sz w:val="21"/>
          <w:szCs w:val="21"/>
        </w:rPr>
        <w:t>. 2 в ред. Федерального </w:t>
      </w:r>
      <w:hyperlink r:id="rId36" w:history="1">
        <w:r>
          <w:rPr>
            <w:rStyle w:val="a4"/>
            <w:rFonts w:ascii="Arial" w:hAnsi="Arial" w:cs="Arial"/>
            <w:color w:val="0066CC"/>
            <w:sz w:val="21"/>
            <w:szCs w:val="21"/>
          </w:rPr>
          <w:t>закона</w:t>
        </w:r>
      </w:hyperlink>
      <w:r>
        <w:rPr>
          <w:rFonts w:ascii="Arial" w:hAnsi="Arial" w:cs="Arial"/>
          <w:color w:val="000000"/>
          <w:sz w:val="21"/>
          <w:szCs w:val="21"/>
        </w:rPr>
        <w:t> от 28.06.2014 N 198-ФЗ)</w:t>
      </w:r>
    </w:p>
    <w:p w:rsidR="00B333B0" w:rsidRDefault="00B333B0" w:rsidP="00B333B0">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Положения настоящей статьи применяются с учетом положений </w:t>
      </w:r>
      <w:hyperlink r:id="rId37" w:history="1">
        <w:r>
          <w:rPr>
            <w:rStyle w:val="a4"/>
            <w:rFonts w:ascii="Arial" w:hAnsi="Arial" w:cs="Arial"/>
            <w:color w:val="0066CC"/>
            <w:sz w:val="21"/>
            <w:szCs w:val="21"/>
          </w:rPr>
          <w:t>статей 333.35</w:t>
        </w:r>
      </w:hyperlink>
      <w:r>
        <w:rPr>
          <w:rFonts w:ascii="Arial" w:hAnsi="Arial" w:cs="Arial"/>
          <w:color w:val="000000"/>
          <w:sz w:val="21"/>
          <w:szCs w:val="21"/>
        </w:rPr>
        <w:t> и </w:t>
      </w:r>
      <w:hyperlink r:id="rId38" w:history="1">
        <w:r>
          <w:rPr>
            <w:rStyle w:val="a4"/>
            <w:rFonts w:ascii="Arial" w:hAnsi="Arial" w:cs="Arial"/>
            <w:color w:val="0066CC"/>
            <w:sz w:val="21"/>
            <w:szCs w:val="21"/>
          </w:rPr>
          <w:t>333.36</w:t>
        </w:r>
      </w:hyperlink>
      <w:r>
        <w:rPr>
          <w:rFonts w:ascii="Arial" w:hAnsi="Arial" w:cs="Arial"/>
          <w:color w:val="000000"/>
          <w:sz w:val="21"/>
          <w:szCs w:val="21"/>
        </w:rPr>
        <w:t> настоящего Кодекса</w:t>
      </w:r>
    </w:p>
    <w:p w:rsidR="00005626" w:rsidRPr="00B333B0" w:rsidRDefault="00005626" w:rsidP="00B333B0"/>
    <w:sectPr w:rsidR="00005626" w:rsidRPr="00B333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29A"/>
    <w:rsid w:val="00005626"/>
    <w:rsid w:val="00B333B0"/>
    <w:rsid w:val="00BC4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33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333B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33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333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781531">
      <w:bodyDiv w:val="1"/>
      <w:marLeft w:val="0"/>
      <w:marRight w:val="0"/>
      <w:marTop w:val="0"/>
      <w:marBottom w:val="0"/>
      <w:divBdr>
        <w:top w:val="none" w:sz="0" w:space="0" w:color="auto"/>
        <w:left w:val="none" w:sz="0" w:space="0" w:color="auto"/>
        <w:bottom w:val="none" w:sz="0" w:space="0" w:color="auto"/>
        <w:right w:val="none" w:sz="0" w:space="0" w:color="auto"/>
      </w:divBdr>
    </w:div>
    <w:div w:id="150355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529&amp;dst=100392" TargetMode="External"/><Relationship Id="rId13" Type="http://schemas.openxmlformats.org/officeDocument/2006/relationships/hyperlink" Target="https://login.consultant.ru/link/?req=doc&amp;base=LAW&amp;n=164867&amp;dst=100039" TargetMode="External"/><Relationship Id="rId18" Type="http://schemas.openxmlformats.org/officeDocument/2006/relationships/hyperlink" Target="https://login.consultant.ru/link/?req=doc&amp;base=LAW&amp;n=404368&amp;dst=100075" TargetMode="External"/><Relationship Id="rId26" Type="http://schemas.openxmlformats.org/officeDocument/2006/relationships/hyperlink" Target="https://login.consultant.ru/link/?req=doc&amp;base=LAW&amp;n=489355&amp;dst=774"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34" Type="http://schemas.openxmlformats.org/officeDocument/2006/relationships/hyperlink" Target="https://login.consultant.ru/link/?req=doc&amp;base=LAW&amp;n=482529&amp;dst=100445" TargetMode="External"/><Relationship Id="rId7"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12" Type="http://schemas.openxmlformats.org/officeDocument/2006/relationships/hyperlink" Target="https://login.consultant.ru/link/?req=doc&amp;base=LAW&amp;n=482733&amp;dst=100124" TargetMode="External"/><Relationship Id="rId17" Type="http://schemas.openxmlformats.org/officeDocument/2006/relationships/hyperlink" Target="https://login.consultant.ru/link/?req=doc&amp;base=LAW&amp;n=482733" TargetMode="External"/><Relationship Id="rId25" Type="http://schemas.openxmlformats.org/officeDocument/2006/relationships/hyperlink" Target="https://login.consultant.ru/link/?req=doc&amp;base=LAW&amp;n=404368&amp;dst=100083" TargetMode="External"/><Relationship Id="rId33" Type="http://schemas.openxmlformats.org/officeDocument/2006/relationships/hyperlink" Target="https://login.consultant.ru/link/?req=doc&amp;base=LAW&amp;n=482529&amp;dst=100443" TargetMode="External"/><Relationship Id="rId38" Type="http://schemas.openxmlformats.org/officeDocument/2006/relationships/hyperlink" Target="https://login.consultant.ru/link/?req=doc&amp;base=LAW&amp;n=489355&amp;dst=1253"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9141&amp;dst=100425" TargetMode="External"/><Relationship Id="rId20"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29"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1" Type="http://schemas.openxmlformats.org/officeDocument/2006/relationships/styles" Target="styles.xml"/><Relationship Id="rId6"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11" Type="http://schemas.openxmlformats.org/officeDocument/2006/relationships/hyperlink" Target="https://login.consultant.ru/link/?req=doc&amp;base=LAW&amp;n=489141&amp;dst=100097" TargetMode="External"/><Relationship Id="rId24" Type="http://schemas.openxmlformats.org/officeDocument/2006/relationships/hyperlink" Target="https://login.consultant.ru/link/?req=doc&amp;base=LAW&amp;n=404368&amp;dst=100081" TargetMode="External"/><Relationship Id="rId32" Type="http://schemas.openxmlformats.org/officeDocument/2006/relationships/hyperlink" Target="https://login.consultant.ru/link/?req=doc&amp;base=LAW&amp;n=221684&amp;dst=100048" TargetMode="External"/><Relationship Id="rId37" Type="http://schemas.openxmlformats.org/officeDocument/2006/relationships/hyperlink" Target="https://login.consultant.ru/link/?req=doc&amp;base=LAW&amp;n=489355&amp;dst=1225" TargetMode="External"/><Relationship Id="rId40" Type="http://schemas.openxmlformats.org/officeDocument/2006/relationships/theme" Target="theme/theme1.xml"/><Relationship Id="rId5" Type="http://schemas.openxmlformats.org/officeDocument/2006/relationships/hyperlink" Target="https://login.consultant.ru/link/?req=doc&amp;base=LAW&amp;n=164867&amp;dst=100023" TargetMode="External"/><Relationship Id="rId15" Type="http://schemas.openxmlformats.org/officeDocument/2006/relationships/hyperlink" Target="https://login.consultant.ru/link/?req=doc&amp;base=LAW&amp;n=404368&amp;dst=100074" TargetMode="External"/><Relationship Id="rId23" Type="http://schemas.openxmlformats.org/officeDocument/2006/relationships/hyperlink" Target="https://login.consultant.ru/link/?req=doc&amp;base=LAW&amp;n=404368&amp;dst=100079" TargetMode="External"/><Relationship Id="rId28" Type="http://schemas.openxmlformats.org/officeDocument/2006/relationships/hyperlink" Target="https://login.consultant.ru/link/?req=doc&amp;base=LAW&amp;n=489355&amp;dst=1320" TargetMode="External"/><Relationship Id="rId36" Type="http://schemas.openxmlformats.org/officeDocument/2006/relationships/hyperlink" Target="https://login.consultant.ru/link/?req=doc&amp;base=LAW&amp;n=164867&amp;dst=100041" TargetMode="External"/><Relationship Id="rId10" Type="http://schemas.openxmlformats.org/officeDocument/2006/relationships/hyperlink" Target="https://login.consultant.ru/link/?req=doc&amp;base=LAW&amp;n=164867&amp;dst=100037" TargetMode="External"/><Relationship Id="rId19"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31" Type="http://schemas.openxmlformats.org/officeDocument/2006/relationships/hyperlink" Target="https://login.consultant.ru/link/?req=doc&amp;base=LAW&amp;n=194690&amp;dst=100010" TargetMode="External"/><Relationship Id="rId4" Type="http://schemas.openxmlformats.org/officeDocument/2006/relationships/webSettings" Target="webSettings.xml"/><Relationship Id="rId9" Type="http://schemas.openxmlformats.org/officeDocument/2006/relationships/hyperlink" Target="file:///\\192.168.0.249\tranzit\%D0%B4%D0%BB%D1%8F%20%D0%BF%D0%BE%D0%BC%D0%BE%D1%89%D0%BD%D0%B8%D0%BA%D0%B0%20%D0%BF%D1%80%D0%B5%D0%B4%D1%81%D0%B5%D0%B4%D0%B0%D1%82%D0%B5%D0%BB%D1%8F%20%D1%81%D1%83%D0%B4%D0%B0\%D1%81%D0%B0%D0%B9%D1%82\%D0%93%D0%BE%D1%81%D0%BF%D0%BE%D1%88%D0%BB%D0%B8%D0%BD%D0%B0\%D0%A1%D0%B2%D0%B5%D0%B4%D0%B5%D0%BD%D0%B8%D1%8F%20%D0%BE%20%D1%80%D0%B0%D0%B7%D0%BC%D0%B5%D1%80%D0%B5%20%D0%B8%20%D0%BF%D0%BE%D1%80%D1%8F%D0%B4%D0%BA%D0%B5%20%D1%83%D0%BF%D0%BB%D0%B0%D1%82%D1%8B%20%D0%B3%D0%BE%D1%81%D1%83%D0%B4%D0%B0%D1%80%D1%81%D1%82%D0%B2%D0%B5%D0%BD%D0%BD%D0%BE%D0%B9%20%D0%BF%D0%BE%D1%88%D0%BB%D0%B8%D0%BD%D1%8B.docx" TargetMode="External"/><Relationship Id="rId14" Type="http://schemas.openxmlformats.org/officeDocument/2006/relationships/hyperlink" Target="https://login.consultant.ru/link/?req=doc&amp;base=LAW&amp;n=404368&amp;dst=100073" TargetMode="External"/><Relationship Id="rId22" Type="http://schemas.openxmlformats.org/officeDocument/2006/relationships/hyperlink" Target="https://login.consultant.ru/link/?req=doc&amp;base=LAW&amp;n=404368&amp;dst=100077" TargetMode="External"/><Relationship Id="rId27" Type="http://schemas.openxmlformats.org/officeDocument/2006/relationships/hyperlink" Target="https://login.consultant.ru/link/?req=doc&amp;base=LAW&amp;n=489355&amp;dst=774" TargetMode="External"/><Relationship Id="rId30" Type="http://schemas.openxmlformats.org/officeDocument/2006/relationships/hyperlink" Target="https://login.consultant.ru/link/?req=doc&amp;base=LAW&amp;n=382047&amp;dst=100009" TargetMode="External"/><Relationship Id="rId35" Type="http://schemas.openxmlformats.org/officeDocument/2006/relationships/hyperlink" Target="https://login.consultant.ru/link/?req=doc&amp;base=LAW&amp;n=489355&amp;dst=13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3260</Words>
  <Characters>18583</Characters>
  <Application>Microsoft Office Word</Application>
  <DocSecurity>0</DocSecurity>
  <Lines>154</Lines>
  <Paragraphs>43</Paragraphs>
  <ScaleCrop>false</ScaleCrop>
  <Company/>
  <LinksUpToDate>false</LinksUpToDate>
  <CharactersWithSpaces>21800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xUser</dc:creator>
  <cp:keywords/>
  <dc:description/>
  <cp:lastModifiedBy>xUser</cp:lastModifiedBy>
  <cp:revision>2</cp:revision>
  <dcterms:created xsi:type="dcterms:W3CDTF">2026-10-06T12:57:00Z</dcterms:created>
  <dcterms:modified xsi:type="dcterms:W3CDTF">2026-10-06T13:00:00Z</dcterms:modified>
</cp:coreProperties>
</file>